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1842473" w:displacedByCustomXml="next"/>
    <w:bookmarkEnd w:id="0" w:displacedByCustomXml="next"/>
    <w:sdt>
      <w:sdtPr>
        <w:id w:val="476575712"/>
        <w:docPartObj>
          <w:docPartGallery w:val="Cover Pages"/>
          <w:docPartUnique/>
        </w:docPartObj>
      </w:sdtPr>
      <w:sdtEndPr>
        <w:rPr>
          <w:rFonts w:asciiTheme="majorHAnsi" w:eastAsiaTheme="majorEastAsia" w:hAnsiTheme="majorHAnsi" w:cstheme="majorBidi"/>
          <w:color w:val="FFFFFF" w:themeColor="background1"/>
          <w:spacing w:val="10"/>
          <w:sz w:val="80"/>
          <w:szCs w:val="80"/>
        </w:rPr>
      </w:sdtEndPr>
      <w:sdtContent>
        <w:p w:rsidR="00023223" w:rsidRDefault="00A63E14" w:rsidP="00042F7F">
          <w:pPr>
            <w:rPr>
              <w:rFonts w:asciiTheme="majorHAnsi" w:eastAsiaTheme="majorEastAsia" w:hAnsiTheme="majorHAnsi" w:cstheme="majorBidi"/>
              <w:color w:val="FFFFFF" w:themeColor="background1"/>
              <w:spacing w:val="10"/>
              <w:sz w:val="80"/>
              <w:szCs w:val="80"/>
            </w:rPr>
          </w:pPr>
          <w:r>
            <w:rPr>
              <w:noProof/>
              <w:lang w:val="en-GB" w:eastAsia="en-GB"/>
            </w:rPr>
            <w:drawing>
              <wp:anchor distT="0" distB="0" distL="114300" distR="114300" simplePos="0" relativeHeight="251659264" behindDoc="1" locked="0" layoutInCell="1" allowOverlap="1" wp14:anchorId="1F206A93" wp14:editId="636A7337">
                <wp:simplePos x="0" y="0"/>
                <wp:positionH relativeFrom="column">
                  <wp:posOffset>-204082</wp:posOffset>
                </wp:positionH>
                <wp:positionV relativeFrom="paragraph">
                  <wp:posOffset>-136136</wp:posOffset>
                </wp:positionV>
                <wp:extent cx="1760220" cy="968375"/>
                <wp:effectExtent l="0" t="0" r="0" b="3175"/>
                <wp:wrapNone/>
                <wp:docPr id="9" name="Obraz 9" descr="D:\Users\andrzej_jedrzejowski\AppData\Local\Microsoft\Windows\INetCache\Content.Word\PARP Grupa PFR logo-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ndrzej_jedrzejowski\AppData\Local\Microsoft\Windows\INetCache\Content.Word\PARP Grupa PFR logo-CMY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0220" cy="968375"/>
                        </a:xfrm>
                        <a:prstGeom prst="rect">
                          <a:avLst/>
                        </a:prstGeom>
                        <a:noFill/>
                        <a:ln>
                          <a:noFill/>
                        </a:ln>
                      </pic:spPr>
                    </pic:pic>
                  </a:graphicData>
                </a:graphic>
              </wp:anchor>
            </w:drawing>
          </w:r>
        </w:p>
      </w:sdtContent>
    </w:sdt>
    <w:sdt>
      <w:sdtPr>
        <w:rPr>
          <w:rFonts w:eastAsiaTheme="minorEastAsia" w:cstheme="minorBidi"/>
          <w:color w:val="auto"/>
          <w:spacing w:val="0"/>
          <w:sz w:val="20"/>
          <w:szCs w:val="20"/>
        </w:rPr>
        <w:id w:val="-1247799793"/>
        <w:docPartObj>
          <w:docPartGallery w:val="Page Numbers (Bottom of Page)"/>
          <w:docPartUnique/>
        </w:docPartObj>
      </w:sdtPr>
      <w:sdtEndPr>
        <w:rPr>
          <w:sz w:val="24"/>
        </w:rPr>
      </w:sdtEndPr>
      <w:sdtContent>
        <w:p w:rsidR="00A63E14" w:rsidRPr="002A6E4C" w:rsidRDefault="002A6E4C" w:rsidP="00042F7F">
          <w:pPr>
            <w:pStyle w:val="Tytu"/>
            <w:spacing w:before="1920" w:after="120"/>
          </w:pPr>
          <w:r w:rsidRPr="002A6E4C">
            <w:t>Analizy kontrfaktyczne efektów przyczynowych POPW 2014-2020</w:t>
          </w:r>
        </w:p>
        <w:p w:rsidR="002A6E4C" w:rsidRDefault="002A6E4C" w:rsidP="00042F7F">
          <w:pPr>
            <w:pStyle w:val="Podtytu"/>
            <w:spacing w:after="0" w:line="276" w:lineRule="auto"/>
            <w:rPr>
              <w:sz w:val="24"/>
            </w:rPr>
          </w:pPr>
          <w:r w:rsidRPr="002A6E4C">
            <w:rPr>
              <w:sz w:val="24"/>
            </w:rPr>
            <w:t xml:space="preserve">Usługa </w:t>
          </w:r>
          <w:r w:rsidR="00042F7F" w:rsidRPr="002A6E4C">
            <w:rPr>
              <w:sz w:val="24"/>
            </w:rPr>
            <w:t>ekspercka</w:t>
          </w:r>
          <w:r w:rsidRPr="002A6E4C">
            <w:rPr>
              <w:sz w:val="24"/>
            </w:rPr>
            <w:t xml:space="preserve"> na potrzeby programowania następcy POPW na lata 2021-2027</w:t>
          </w:r>
        </w:p>
        <w:p w:rsidR="002A6E4C" w:rsidRDefault="002A6E4C" w:rsidP="00042F7F"/>
        <w:p w:rsidR="002A6E4C" w:rsidRDefault="002A6E4C" w:rsidP="00042F7F"/>
        <w:p w:rsidR="002A6E4C" w:rsidRPr="002A6E4C" w:rsidRDefault="00042F7F" w:rsidP="00042F7F">
          <w:pPr>
            <w:pStyle w:val="Podtytu"/>
            <w:spacing w:line="276" w:lineRule="auto"/>
            <w:sectPr w:rsidR="002A6E4C" w:rsidRPr="002A6E4C" w:rsidSect="0032450B">
              <w:footerReference w:type="default" r:id="rId10"/>
              <w:pgSz w:w="11906" w:h="16838"/>
              <w:pgMar w:top="1417" w:right="1417" w:bottom="1417" w:left="1417" w:header="708" w:footer="708" w:gutter="0"/>
              <w:pgNumType w:start="1"/>
              <w:cols w:space="708"/>
              <w:docGrid w:linePitch="360"/>
            </w:sectPr>
          </w:pPr>
          <w:r>
            <w:rPr>
              <w:noProof/>
              <w:lang w:val="en-GB" w:eastAsia="en-GB"/>
            </w:rPr>
            <w:drawing>
              <wp:anchor distT="0" distB="0" distL="114300" distR="114300" simplePos="0" relativeHeight="251660288" behindDoc="0" locked="0" layoutInCell="1" allowOverlap="1">
                <wp:simplePos x="0" y="0"/>
                <wp:positionH relativeFrom="margin">
                  <wp:align>left</wp:align>
                </wp:positionH>
                <wp:positionV relativeFrom="paragraph">
                  <wp:posOffset>4419016</wp:posOffset>
                </wp:positionV>
                <wp:extent cx="5723890" cy="660680"/>
                <wp:effectExtent l="0" t="0" r="0" b="635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3890" cy="660680"/>
                        </a:xfrm>
                        <a:prstGeom prst="rect">
                          <a:avLst/>
                        </a:prstGeom>
                        <a:noFill/>
                        <a:ln>
                          <a:noFill/>
                        </a:ln>
                      </pic:spPr>
                    </pic:pic>
                  </a:graphicData>
                </a:graphic>
              </wp:anchor>
            </w:drawing>
          </w:r>
          <w:r w:rsidR="002A6E4C">
            <w:t>OPIS PRZEDMIOTU ZAMÓWIENIA (draft)</w:t>
          </w:r>
        </w:p>
        <w:p w:rsidR="00F5119D" w:rsidRPr="002A6E4C" w:rsidRDefault="002A6E4C" w:rsidP="00042F7F">
          <w:pPr>
            <w:spacing w:after="0"/>
            <w:rPr>
              <w:b/>
              <w:bCs/>
              <w:i/>
              <w:iCs/>
              <w:caps/>
              <w:color w:val="B61928" w:themeColor="accent1"/>
            </w:rPr>
          </w:pPr>
          <w:r>
            <w:rPr>
              <w:rStyle w:val="Odwoanieintensywne"/>
            </w:rPr>
            <w:lastRenderedPageBreak/>
            <w:t>Wprowadzenie</w:t>
          </w:r>
        </w:p>
      </w:sdtContent>
    </w:sdt>
    <w:p w:rsidR="00CD4A26" w:rsidRDefault="00CD4A26" w:rsidP="00042F7F">
      <w:pPr>
        <w:spacing w:after="0"/>
      </w:pPr>
      <w:r>
        <w:t xml:space="preserve">W ramach przygotowań następcy programu POPW na lata 2021-2027 - Fundusze Europejskie dla Polski Wschodniej, PARP zamawia usługę kontrfaktycznej analizy eksperckiej, poświęconą efektom przyczynowym wsparcia wybranych działań POPW dla </w:t>
      </w:r>
      <w:r w:rsidR="008F16CF">
        <w:t>przedsiębiorstw</w:t>
      </w:r>
      <w:r>
        <w:t xml:space="preserve"> makroregionu.</w:t>
      </w:r>
    </w:p>
    <w:p w:rsidR="00CD4A26" w:rsidRDefault="00CD4A26" w:rsidP="00042F7F">
      <w:pPr>
        <w:spacing w:after="0"/>
      </w:pPr>
      <w:r>
        <w:t>Podejście do gromadzenia i analizy danych będzie miało charakter eksperymentalny - dotąd nie stosowany w analizach polityk publicznych ani badaniach ewaluacyjnych w Polsce - wykorzystując udostępniane przez Ministerstwo Sprawiedliwości i Krajowy Rejestr Sądowy zasoby danych administracyjnych (tj. sprawozdania finansowe spółek, za poszczególne lata obrachunkowe). W szczególności niniejsza ekspertyza posłuży:</w:t>
      </w:r>
    </w:p>
    <w:p w:rsidR="00CD4A26" w:rsidRDefault="00CD4A26" w:rsidP="00042F7F">
      <w:pPr>
        <w:pStyle w:val="Akapitzlist"/>
        <w:numPr>
          <w:ilvl w:val="0"/>
          <w:numId w:val="35"/>
        </w:numPr>
        <w:spacing w:after="0"/>
      </w:pPr>
      <w:r>
        <w:t xml:space="preserve">zapewnieniu wyników analiz kontrfaktycznych na populacji spółek-wnioskodawców POPW (działań I.3.1, I.4 oraz I.2) – w tym odpowiednich (opartych na rygorystycznej metodyce analiz kontrfaktycznych) porównań pomiędzy sytuacją ekonomiczną beneficjentów i bliźniaczo podobnych do nich (wg kryteriów statystycznych) tzw. nieskutecznych wnioskodawców; </w:t>
      </w:r>
    </w:p>
    <w:p w:rsidR="00CD4A26" w:rsidRDefault="00CD4A26" w:rsidP="00042F7F">
      <w:pPr>
        <w:pStyle w:val="Akapitzlist"/>
        <w:numPr>
          <w:ilvl w:val="0"/>
          <w:numId w:val="35"/>
        </w:numPr>
        <w:spacing w:after="0"/>
        <w:ind w:left="708"/>
      </w:pPr>
      <w:r>
        <w:t>pozyskaniu najbardziej aktualnych ww. oszacowań</w:t>
      </w:r>
      <w:r w:rsidR="008F16CF">
        <w:t xml:space="preserve"> - </w:t>
      </w:r>
      <w:r>
        <w:t>na poziomie firm makroregionu uczestniczących w POPW (w miarę możliwości, uwzględniając dane spółek za 2020 r., tj. sytuację ekonomiczną analizowanych firm makroregionu w pierwszym roku po wybuchu pandemii)</w:t>
      </w:r>
      <w:r w:rsidR="008F16CF">
        <w:t xml:space="preserve"> - </w:t>
      </w:r>
      <w:r>
        <w:t xml:space="preserve">wykraczających poza zakres czasowy danych, dostępny aktualnie w Głównym Urzędzie Statystycznym. </w:t>
      </w:r>
    </w:p>
    <w:p w:rsidR="00CD4A26" w:rsidRDefault="00CD4A26" w:rsidP="00042F7F">
      <w:pPr>
        <w:spacing w:after="0"/>
      </w:pPr>
      <w:r>
        <w:t xml:space="preserve">Proponowane podejście będzie stanowić triangulację metodologiczną względem pokrewnych analiz kontrfaktycznych POPW na danych GUS, które są prowadzone na zlecenie PARP, w tym wyjście naprzeciw ograniczeniom tego typu podejść analitycznych (np. oparcie analiz na danych deklaratywnych pochodzących z badań statystycznych GUS, pominięcie firm zatrudniających mniej niż 10 os., zawężenie analiz do danych pochodzących sprzed 2018 r. / grupy wnioskodawców z pierwszych konkursów w ramach Programu, oparcie grupy kontrolnej na firmach nie aplikujących do Programu). </w:t>
      </w:r>
    </w:p>
    <w:p w:rsidR="002A6E4C" w:rsidRDefault="00CD4A26" w:rsidP="00042F7F">
      <w:pPr>
        <w:spacing w:after="0"/>
      </w:pPr>
      <w:r>
        <w:t xml:space="preserve">Niniejsza kontrfaktyczna analiza ekspercka będzie zatem uzupełniającym źródłem informacji i dowodów empirycznych, wskazującym czy firmy-beneficjenci wybranych działań POPW dokonaliby inwestycji w zakresie objętym ww. działaniami, gdyby nie otrzymali dotacji ze środków POPW 2014-2020. Wnioski z analizy eksperckiej mogą stanowić jedną z przesłanek do kontynuacji analogicznego wsparcia dotacyjnego dla firm makroregionu, w ramach następcy POPW na lata 2020-2027. </w:t>
      </w:r>
    </w:p>
    <w:p w:rsidR="002A6E4C" w:rsidRDefault="002A6E4C" w:rsidP="00042F7F">
      <w:pPr>
        <w:spacing w:after="200"/>
      </w:pPr>
      <w:r>
        <w:br w:type="page"/>
      </w:r>
    </w:p>
    <w:p w:rsidR="00CD4A26" w:rsidRPr="00345274" w:rsidRDefault="00CD4A26" w:rsidP="00042F7F">
      <w:pPr>
        <w:spacing w:after="0"/>
        <w:rPr>
          <w:rStyle w:val="Odwoanieintensywne"/>
        </w:rPr>
      </w:pPr>
      <w:r w:rsidRPr="00345274">
        <w:rPr>
          <w:rStyle w:val="Odwoanieintensywne"/>
        </w:rPr>
        <w:lastRenderedPageBreak/>
        <w:t>Uzasadnienie realizacji analizy</w:t>
      </w:r>
      <w:r w:rsidRPr="00345274">
        <w:rPr>
          <w:rStyle w:val="Odwoanieintensywne"/>
          <w:vertAlign w:val="superscript"/>
        </w:rPr>
        <w:footnoteReference w:id="2"/>
      </w:r>
      <w:r w:rsidRPr="00345274">
        <w:rPr>
          <w:rStyle w:val="Odwoanieintensywne"/>
          <w:vertAlign w:val="superscript"/>
        </w:rPr>
        <w:t xml:space="preserve"> </w:t>
      </w:r>
    </w:p>
    <w:p w:rsidR="00CD4A26" w:rsidRDefault="00CD4A26" w:rsidP="00042F7F">
      <w:pPr>
        <w:spacing w:after="0"/>
      </w:pPr>
      <w:r>
        <w:t xml:space="preserve">Jednym z wyzwań stojących przed administracją publiczną w Polsce, aktywnie zaangażowaną w wydatkowanie funduszy w ramach Polityki Spójności UE, jest ustalenie efektów realizowanych Programów. Można je ustalić poprzez różnego typu badania i analizy, podejmujące próbę odpowiedzi na dwa zasadnicze pytania: </w:t>
      </w:r>
    </w:p>
    <w:p w:rsidR="00CD4A26" w:rsidRDefault="00CD4A26" w:rsidP="00042F7F">
      <w:pPr>
        <w:pStyle w:val="Akapitzlist"/>
        <w:numPr>
          <w:ilvl w:val="0"/>
          <w:numId w:val="37"/>
        </w:numPr>
        <w:spacing w:after="0"/>
      </w:pPr>
      <w:r>
        <w:t xml:space="preserve">czy programy rzeczywiście działają (tj. czy są skuteczne i rozwiązują zdiagnozowane problemy społeczno-gospodarcze np. niską konkurencyjność przedsiębiorstw itp.), oraz </w:t>
      </w:r>
    </w:p>
    <w:p w:rsidR="00CD4A26" w:rsidRDefault="00CD4A26" w:rsidP="00042F7F">
      <w:pPr>
        <w:pStyle w:val="Akapitzlist"/>
        <w:numPr>
          <w:ilvl w:val="0"/>
          <w:numId w:val="37"/>
        </w:numPr>
        <w:spacing w:after="0"/>
      </w:pPr>
      <w:r>
        <w:t xml:space="preserve">dlaczego programy działają / nie działają (tj. jakie mechanizmy odpowiadają za to, że wygenerowane zostały określone efekty). </w:t>
      </w:r>
    </w:p>
    <w:p w:rsidR="00CD4A26" w:rsidRDefault="00CD4A26" w:rsidP="00042F7F">
      <w:pPr>
        <w:spacing w:after="0"/>
      </w:pPr>
      <w:r>
        <w:t>Odpowiedź na pierwsze z pytań</w:t>
      </w:r>
      <w:r>
        <w:rPr>
          <w:rStyle w:val="Odwoanieprzypisudolnego"/>
        </w:rPr>
        <w:footnoteReference w:id="3"/>
      </w:r>
      <w:r>
        <w:t>, wymaga oszacowania tzw. efektu przyczynowego (zwanego również efektem netto), tj. uwzględniającego zależności przyczynowe oddziaływania interwencji publicznych na zmiany w sytuacji beneficjentów wsparcia publicznego. Ustalenie występowania i siły związków przyczynowych ma kluczowe znaczenie z punktu widzenia monitorowania oraz doskonalenia działań publicznych finansowanych w ramach Polityki Spójności.</w:t>
      </w:r>
    </w:p>
    <w:p w:rsidR="00CD4A26" w:rsidRDefault="00CD4A26" w:rsidP="00042F7F">
      <w:pPr>
        <w:spacing w:after="0"/>
      </w:pPr>
      <w:r>
        <w:t>Współczesne metody służące do szacowania oddziaływania interwencji koncentrują się wokół pojęcia przyczynowości, definiowanej z wykorzystaniem tzw. koncepcji stanów kontrfaktycznych. Efekty ocenianych programów szacowane są poprzez porównanie sytuacji beneficjentów pomocy publicznej z hipotetyczną sytuacją, jaka miałaby miejsce w przypadku, gdyby nie skorzystali oni ze wsparcia. Sytuacja ta nie jest obserwowana w rzeczywistości, jednak może zostać oszacowana</w:t>
      </w:r>
      <w:r w:rsidR="001F1314">
        <w:t>,</w:t>
      </w:r>
      <w:r>
        <w:t xml:space="preserve"> dzięki zastosowaniu rozmaitych metod i technik statystycznych oraz wykorzystaniu podmiotów, które nie otrzymały pomocy publicznej w ramach analizowanych działań POPW (grupa kontrolna). W ogólnym ujęciu, na poziomie metodyki badań, podejści</w:t>
      </w:r>
      <w:r w:rsidR="001F1314">
        <w:t>e</w:t>
      </w:r>
      <w:r>
        <w:t xml:space="preserve"> kontrfaktyczne sprowadza się do porównań sytuacji beneficjentów danego wsparcia, z dobraną w odpowiedni sposób grupą kontrolną.</w:t>
      </w:r>
    </w:p>
    <w:p w:rsidR="00CD4A26" w:rsidRDefault="00CD4A26" w:rsidP="00042F7F">
      <w:pPr>
        <w:spacing w:after="0"/>
      </w:pPr>
      <w:r>
        <w:t>Realizacja analiz kontrfaktycznych przy pomiarze efektów wynika z jednej strony ze współczesnych trendów w metodologii poświęconej identyfikacji zależności przyczynowych. Z drugiej strony, ma swoje źródło w oczekiwaniach Komisji Europejskiej kierowanych w stosunku do wszystkich państw członkowskich, wydatkujących fundusze unijne oraz realizujących programy pomoc</w:t>
      </w:r>
      <w:r w:rsidR="001F1314">
        <w:t>owe</w:t>
      </w:r>
      <w:r>
        <w:t xml:space="preserve">. Niniejsza analiza docelowo dostarczy wiedzy dla jej odbiorców i będzie służyła bardziej skutecznej realizacji polityk publicznych, w tym przypadku </w:t>
      </w:r>
      <w:r w:rsidR="001F1314">
        <w:t xml:space="preserve">na rzecz rozwoju </w:t>
      </w:r>
      <w:r>
        <w:t xml:space="preserve">przedsiębiorczości makroregionu Polski Wschodniej. </w:t>
      </w:r>
      <w:r w:rsidR="002A6E4C">
        <w:br w:type="page"/>
      </w:r>
    </w:p>
    <w:p w:rsidR="00CD4A26" w:rsidRPr="0090176D" w:rsidRDefault="00CD4A26" w:rsidP="00042F7F">
      <w:pPr>
        <w:spacing w:after="0"/>
        <w:rPr>
          <w:rStyle w:val="Odwoanieintensywne"/>
        </w:rPr>
      </w:pPr>
      <w:r w:rsidRPr="0090176D">
        <w:rPr>
          <w:rStyle w:val="Odwoanieintensywne"/>
        </w:rPr>
        <w:lastRenderedPageBreak/>
        <w:t>Cele ogólne i szczegółowe</w:t>
      </w:r>
    </w:p>
    <w:p w:rsidR="00CD4A26" w:rsidRDefault="00CD4A26" w:rsidP="00042F7F">
      <w:pPr>
        <w:pStyle w:val="Akapitzlist"/>
        <w:numPr>
          <w:ilvl w:val="0"/>
          <w:numId w:val="44"/>
        </w:numPr>
        <w:spacing w:after="0"/>
      </w:pPr>
      <w:r>
        <w:t xml:space="preserve">Celem ogólnym analizy eksperckiej jest ustalenie wartości wskaźników ekonomicznych dla beneficjentów pomocy PARP w ramach POPW 2014-2020 i grup kontrolnych, przy zastosowaniu tzw. podejścia kontrfaktycznego, a w rezultacie określenie bezpośredniego wpływu pomocy na sytuację beneficjentów (efektu przyczynowego Programu). </w:t>
      </w:r>
    </w:p>
    <w:p w:rsidR="00CD4A26" w:rsidRDefault="00CD4A26" w:rsidP="00042F7F">
      <w:pPr>
        <w:pStyle w:val="Akapitzlist"/>
        <w:numPr>
          <w:ilvl w:val="0"/>
          <w:numId w:val="44"/>
        </w:numPr>
        <w:spacing w:after="0"/>
      </w:pPr>
      <w:r>
        <w:t>Celem szczegółowym analizy eksperckiej jest uzyskanie odpowiedzi na wskazane poniżej pytania (lub zasadniczą część sformułowanych przez Zamawiającego pytań - w granicach na które odpowiedzi pozwalają sformułować dane planowane do wykorzystania w niniejszej analizie)</w:t>
      </w:r>
      <w:r>
        <w:rPr>
          <w:rStyle w:val="Odwoanieprzypisudolnego"/>
        </w:rPr>
        <w:footnoteReference w:id="4"/>
      </w:r>
      <w:r>
        <w:t xml:space="preserve">: </w:t>
      </w:r>
    </w:p>
    <w:p w:rsidR="00CD4A26" w:rsidRDefault="00CD4A26" w:rsidP="00042F7F">
      <w:pPr>
        <w:pStyle w:val="Akapitzlist"/>
        <w:numPr>
          <w:ilvl w:val="0"/>
          <w:numId w:val="43"/>
        </w:numPr>
        <w:spacing w:after="0"/>
      </w:pPr>
      <w:r>
        <w:t>Czy beneficjenci dokonaliby inwestycji (tj. zrealizowaliby działania rozwojowe objęte dofinansowanymi projektami POPW), gdyby nie otrzymali pomocy Programu? Co na to wskazuje? Jakie w tym zakresie mogą być czynniki sprzyjające (determinanty) wartości dodanej pomocy (tj. bez pomocy inwestycje nie zostałyby zrealizowane) a jakie jej jałowości (tj. inwestycje zostałyby zrealizowane niezależnie od pomocy)?</w:t>
      </w:r>
    </w:p>
    <w:p w:rsidR="00CD4A26" w:rsidRDefault="00CD4A26" w:rsidP="00042F7F">
      <w:pPr>
        <w:pStyle w:val="Akapitzlist"/>
        <w:numPr>
          <w:ilvl w:val="0"/>
          <w:numId w:val="43"/>
        </w:numPr>
        <w:spacing w:after="0"/>
      </w:pPr>
      <w:r>
        <w:t xml:space="preserve">W jakim stopniu notowane przez beneficjentów wartości wskaźników mikroekonomicznych (wartości nominalne, wartości dynamiki r/r i/lub ich zmiany w latach 2016-2020) stanowią efekty przyczynowe pomocy POPW? Jaka byłaby sytuacja (kontrfaktyczna) beneficjentów w ujęciu tych wskaźników, gdyby nie otrzymali pomocy Programu? </w:t>
      </w:r>
    </w:p>
    <w:p w:rsidR="00CD4A26" w:rsidRDefault="00CD4A26" w:rsidP="00042F7F">
      <w:pPr>
        <w:pStyle w:val="Akapitzlist"/>
        <w:numPr>
          <w:ilvl w:val="0"/>
          <w:numId w:val="43"/>
        </w:numPr>
        <w:spacing w:after="0"/>
      </w:pPr>
      <w:r>
        <w:t xml:space="preserve">W jakim stopniu uzyskane wsparcie wpłynęło na podniesienie potencjału ekonomicznego (pośrednio konkurencyjności, stabilności/odporności) firm nim objętych (zmiany </w:t>
      </w:r>
      <w:r w:rsidR="001F1314">
        <w:t>„</w:t>
      </w:r>
      <w:r>
        <w:t>in plus</w:t>
      </w:r>
      <w:r w:rsidR="001F1314">
        <w:t>”</w:t>
      </w:r>
      <w:r>
        <w:t xml:space="preserve"> w obszarze aktywów, kapitału, płynności finansowej, zyskowności, kosztów pracowniczych, itp.)? </w:t>
      </w:r>
    </w:p>
    <w:p w:rsidR="00CD4A26" w:rsidRDefault="00CD4A26" w:rsidP="00042F7F">
      <w:pPr>
        <w:pStyle w:val="Akapitzlist"/>
        <w:numPr>
          <w:ilvl w:val="0"/>
          <w:numId w:val="43"/>
        </w:numPr>
        <w:spacing w:after="0"/>
      </w:pPr>
      <w:r>
        <w:t xml:space="preserve">Czy występuje zróżnicowanie notowanych zmian (efektów przyczynowych) w poszczególnych wskaźnikach mikroekonomicznych (np. ze względu na typ podmiotu, </w:t>
      </w:r>
      <w:r>
        <w:lastRenderedPageBreak/>
        <w:t xml:space="preserve">działanie lub inne istotne zmienne niezależne)? W których typach podmiotów (o jakich charakterystykach – minimum dot. działania i klasy wielkości przedsiębiorstwa) obserwowane zmiany mogłyby wystąpić bez wsparcia POPW (jałowa strata), a w których przeciwnie - bez wsparcia Programu nie miałyby one miejsca (wartość dodana, efekt netto)? </w:t>
      </w:r>
    </w:p>
    <w:p w:rsidR="00CD4A26" w:rsidRDefault="00CD4A26" w:rsidP="00042F7F">
      <w:pPr>
        <w:pStyle w:val="Akapitzlist"/>
        <w:numPr>
          <w:ilvl w:val="0"/>
          <w:numId w:val="43"/>
        </w:numPr>
        <w:spacing w:after="0"/>
      </w:pPr>
      <w:r>
        <w:t xml:space="preserve">Jak należy ocenić wielkość oszacowanej zmiany przyczynowej wskaźników (w ujęciu kryterium efektywności ekonomicznej, z uwzględnieniem czynników kontekstowych)? Jakie czynniki zewnętrzne (np. koniunktura, korzystanie z innych źródeł pomocowych, premia lokalizacyjna, itp.) i wewnętrzne (np. określona teoria interwencji danego działania POPW, w tym system wyboru projektów, intensywność finansowania) mogły mieć wpływ na notowane wartości wskaźników mikroekonomicznych u beneficjentów? </w:t>
      </w:r>
    </w:p>
    <w:p w:rsidR="00CD4A26" w:rsidRDefault="00CD4A26" w:rsidP="00042F7F">
      <w:pPr>
        <w:pStyle w:val="Akapitzlist"/>
        <w:numPr>
          <w:ilvl w:val="0"/>
          <w:numId w:val="43"/>
        </w:numPr>
        <w:spacing w:after="0"/>
      </w:pPr>
      <w:r>
        <w:t>W jakim stopniu oferta wsparcia POPW docierała (wnioskodawcy ogó</w:t>
      </w:r>
      <w:r w:rsidR="001F1314">
        <w:t>łem, beneficjenci, nieskuteczni</w:t>
      </w:r>
      <w:r>
        <w:t xml:space="preserve"> wnioskodawcy) do podmiotów które wcześniej już korzystały z pomocy Funduszy Europejskich 2007-13, 2014-2020 (tzw. wielokrotnych beneficjent</w:t>
      </w:r>
      <w:r w:rsidR="001F1314">
        <w:t>ów</w:t>
      </w:r>
      <w:r>
        <w:t>), a w jakim stopniu docierała do jednostek bez wcześniejszych doświadczeń funduszowych?</w:t>
      </w:r>
    </w:p>
    <w:p w:rsidR="00CD4A26" w:rsidRDefault="00CD4A26" w:rsidP="00042F7F">
      <w:pPr>
        <w:pStyle w:val="Akapitzlist"/>
        <w:numPr>
          <w:ilvl w:val="0"/>
          <w:numId w:val="43"/>
        </w:numPr>
        <w:spacing w:after="0"/>
      </w:pPr>
      <w:r>
        <w:t xml:space="preserve">Na których typach podmiotów (o jakich charakterystykach – minimum dot. klasy wielkości przedsiębiorstwa, intensywność korzystania z pomocy) i działań warto koncentrować wsparcie (preferencje, kryteria premiujące) w przyszłości (np. w ramach następcy programu POPW na lata 2021-2027), aby maksymalizować wartość dodaną pomocy (efekt netto) a ograniczać jej jałowość (efekty zdarzenia niezależnego, </w:t>
      </w:r>
      <w:proofErr w:type="spellStart"/>
      <w:r>
        <w:t>deadweight</w:t>
      </w:r>
      <w:proofErr w:type="spellEnd"/>
      <w:r>
        <w:t>)?</w:t>
      </w:r>
    </w:p>
    <w:p w:rsidR="00CD4A26" w:rsidRDefault="00CD4A26" w:rsidP="00042F7F">
      <w:pPr>
        <w:spacing w:after="0"/>
      </w:pPr>
      <w:r>
        <w:t xml:space="preserve">Każdorazowo odpowiedź na powyższe pytania powinna być poparta opisem wyników analiz oraz zawierać wyjaśnienie obserwowanych zjawisk lub trendów. </w:t>
      </w:r>
      <w:r w:rsidR="001F1314">
        <w:t>Jednocześnie, w</w:t>
      </w:r>
      <w:r>
        <w:t xml:space="preserve"> oparciu o przeprowadzone analizy eksperckie, Wykonawca sformułuje wnioski dotyczące POPW i następcy POPW na lata 2021-2027. Odpowiedzi na wskazane pytania będą ograniczone danymi, na podstawie których mają zostać sformułowane (roczne sprawozdania finansowe spółek do KRS, bazy beneficjentów, ewentualne </w:t>
      </w:r>
      <w:r w:rsidR="001F1314">
        <w:t xml:space="preserve">inne </w:t>
      </w:r>
      <w:r>
        <w:t xml:space="preserve">źródła - Lista beneficjentów funduszy europejskich, dane rejestru REGON, SUDOP itp.) oraz </w:t>
      </w:r>
      <w:r w:rsidR="001F1314">
        <w:t xml:space="preserve">wiedzą ekspercką, w tym bazującą na </w:t>
      </w:r>
      <w:r>
        <w:t>dotychczasow</w:t>
      </w:r>
      <w:r w:rsidR="001F1314">
        <w:t xml:space="preserve">ym </w:t>
      </w:r>
      <w:r>
        <w:t>dorobk</w:t>
      </w:r>
      <w:r w:rsidR="001F1314">
        <w:t>u</w:t>
      </w:r>
      <w:r>
        <w:t xml:space="preserve"> naukowo-badawcz</w:t>
      </w:r>
      <w:r w:rsidR="00324134">
        <w:t xml:space="preserve">ym </w:t>
      </w:r>
      <w:r>
        <w:t xml:space="preserve">w przedmiotowym obszarze (opracowania ewaluacyjne dot. POPW np. ewaluacja systemu wyboru projektów, analizy teorii interwencji i wyniki ewaluacji </w:t>
      </w:r>
      <w:proofErr w:type="spellStart"/>
      <w:r>
        <w:t>ongoing</w:t>
      </w:r>
      <w:proofErr w:type="spellEnd"/>
      <w:r>
        <w:t xml:space="preserve">, analizy efektów makroekonomicznych, itp.). </w:t>
      </w:r>
    </w:p>
    <w:p w:rsidR="00CD4A26" w:rsidRPr="000E55C7" w:rsidRDefault="00CD4A26" w:rsidP="00042F7F">
      <w:pPr>
        <w:spacing w:after="0"/>
        <w:rPr>
          <w:rStyle w:val="Odwoanieintensywne"/>
        </w:rPr>
      </w:pPr>
      <w:r w:rsidRPr="000E55C7">
        <w:rPr>
          <w:rStyle w:val="Odwoanieintensywne"/>
        </w:rPr>
        <w:t>Zakres analizy eksperckiej:</w:t>
      </w:r>
    </w:p>
    <w:p w:rsidR="00CD4A26" w:rsidRDefault="00CD4A26" w:rsidP="00042F7F">
      <w:pPr>
        <w:pStyle w:val="Akapitzlist"/>
        <w:numPr>
          <w:ilvl w:val="0"/>
          <w:numId w:val="38"/>
        </w:numPr>
        <w:spacing w:after="0"/>
      </w:pPr>
      <w:r>
        <w:t xml:space="preserve">Zakres podmiotowy: </w:t>
      </w:r>
    </w:p>
    <w:p w:rsidR="00CD4A26" w:rsidRDefault="00CD4A26" w:rsidP="00042F7F">
      <w:pPr>
        <w:spacing w:after="0"/>
        <w:ind w:left="708"/>
      </w:pPr>
      <w:r>
        <w:t>Analiza obejmie przedsiębiorstwa, które złożyły do PARP wniosek o dofinansowa</w:t>
      </w:r>
      <w:r w:rsidR="00324134">
        <w:t>nie projektu, w ramach działań I.2, I</w:t>
      </w:r>
      <w:r>
        <w:t xml:space="preserve">.3.1 i </w:t>
      </w:r>
      <w:r w:rsidR="00324134">
        <w:t>I</w:t>
      </w:r>
      <w:r>
        <w:t xml:space="preserve">.4 POPW (wnioskodawców, w tym beneficjentów) </w:t>
      </w:r>
      <w:r>
        <w:lastRenderedPageBreak/>
        <w:t>i prowadzą lub prowadziły działalność gospodarczą w formie spółki, objętej obowiązkiem sprawozdawczym Krajowego Rejestru Sądowego. W przypadku beneficjentów, co do zasady Zamawiający nie planuje ograniczać analiz do podmiotów, które zakończyły projekty</w:t>
      </w:r>
      <w:r w:rsidR="00324134">
        <w:t xml:space="preserve"> POPW</w:t>
      </w:r>
      <w:r>
        <w:t>.</w:t>
      </w:r>
    </w:p>
    <w:p w:rsidR="00CD4A26" w:rsidRDefault="00CD4A26" w:rsidP="00042F7F">
      <w:pPr>
        <w:spacing w:after="0"/>
        <w:ind w:left="708"/>
      </w:pPr>
    </w:p>
    <w:p w:rsidR="00CD4A26" w:rsidRDefault="00CD4A26" w:rsidP="00042F7F">
      <w:pPr>
        <w:pStyle w:val="Akapitzlist"/>
        <w:numPr>
          <w:ilvl w:val="0"/>
          <w:numId w:val="38"/>
        </w:numPr>
        <w:spacing w:after="0"/>
      </w:pPr>
      <w:r>
        <w:t xml:space="preserve">Zakres przedmiotowy: </w:t>
      </w:r>
    </w:p>
    <w:p w:rsidR="00CD4A26" w:rsidRDefault="00CD4A26" w:rsidP="00042F7F">
      <w:pPr>
        <w:spacing w:after="0"/>
        <w:ind w:left="708"/>
      </w:pPr>
      <w:r>
        <w:t xml:space="preserve">Analiza obejmie wybrane wskaźniki finansowe przedsiębiorstw, które mogą wyrażać efekty przyczynowe Programu na poziomie mikroekonomicznym (tj. dotyczą zmian wyników finansowych beneficjentów, będących bezpośrednim efektem odziaływania Programu). Biorąc pod uwagę źródła danych, które zostaną wykorzystane do analizy, można wyróżnić kilka obszarów tematycznych, obejmujących te wskaźniki: </w:t>
      </w:r>
    </w:p>
    <w:p w:rsidR="00CD4A26" w:rsidRDefault="00CD4A26" w:rsidP="00042F7F">
      <w:pPr>
        <w:pStyle w:val="Akapitzlist"/>
        <w:numPr>
          <w:ilvl w:val="0"/>
          <w:numId w:val="39"/>
        </w:numPr>
        <w:spacing w:after="0"/>
        <w:ind w:left="1428"/>
      </w:pPr>
      <w:r>
        <w:t>R</w:t>
      </w:r>
      <w:r w:rsidR="00752CB4">
        <w:t>achunek Zysków i Strat (</w:t>
      </w:r>
      <w:proofErr w:type="spellStart"/>
      <w:r w:rsidR="00752CB4">
        <w:t>R</w:t>
      </w:r>
      <w:r>
        <w:t>ZiS</w:t>
      </w:r>
      <w:proofErr w:type="spellEnd"/>
      <w:r w:rsidR="00752CB4">
        <w:t>)</w:t>
      </w:r>
      <w:r>
        <w:t>: przychody podstawowej działalności operacyjnej (przychody netto ze sprzedaży i zrównane z nimi),</w:t>
      </w:r>
    </w:p>
    <w:p w:rsidR="00CD4A26" w:rsidRDefault="00CD4A26" w:rsidP="00042F7F">
      <w:pPr>
        <w:pStyle w:val="Akapitzlist"/>
        <w:numPr>
          <w:ilvl w:val="0"/>
          <w:numId w:val="39"/>
        </w:numPr>
        <w:spacing w:after="0"/>
        <w:ind w:left="1428"/>
      </w:pPr>
      <w:proofErr w:type="spellStart"/>
      <w:r>
        <w:t>RZiS</w:t>
      </w:r>
      <w:proofErr w:type="spellEnd"/>
      <w:r>
        <w:t>: koszty podstawowej działalności operacyjnej (w tym koszty pracownicze, koszty materiałów i energii, opcjonalnie koszty usług obcych),</w:t>
      </w:r>
    </w:p>
    <w:p w:rsidR="00CD4A26" w:rsidRDefault="00CD4A26" w:rsidP="00042F7F">
      <w:pPr>
        <w:pStyle w:val="Akapitzlist"/>
        <w:numPr>
          <w:ilvl w:val="0"/>
          <w:numId w:val="39"/>
        </w:numPr>
        <w:spacing w:after="0"/>
        <w:ind w:left="1428"/>
      </w:pPr>
      <w:proofErr w:type="spellStart"/>
      <w:r>
        <w:t>RZiS</w:t>
      </w:r>
      <w:proofErr w:type="spellEnd"/>
      <w:r>
        <w:t>: podatek dochodowy,</w:t>
      </w:r>
    </w:p>
    <w:p w:rsidR="00CD4A26" w:rsidRDefault="00CD4A26" w:rsidP="00042F7F">
      <w:pPr>
        <w:pStyle w:val="Akapitzlist"/>
        <w:numPr>
          <w:ilvl w:val="0"/>
          <w:numId w:val="39"/>
        </w:numPr>
        <w:spacing w:after="0"/>
        <w:ind w:left="1428"/>
      </w:pPr>
      <w:proofErr w:type="spellStart"/>
      <w:r>
        <w:t>RZiS</w:t>
      </w:r>
      <w:proofErr w:type="spellEnd"/>
      <w:r>
        <w:t>: wynik finansowy (zysk/strata) netto,</w:t>
      </w:r>
    </w:p>
    <w:p w:rsidR="00CD4A26" w:rsidRDefault="00CD4A26" w:rsidP="00042F7F">
      <w:pPr>
        <w:pStyle w:val="Akapitzlist"/>
        <w:numPr>
          <w:ilvl w:val="0"/>
          <w:numId w:val="39"/>
        </w:numPr>
        <w:spacing w:after="0"/>
        <w:ind w:left="1428"/>
      </w:pPr>
      <w:r>
        <w:t>Bilans: suma bilansowa aktywów/pasywów,</w:t>
      </w:r>
    </w:p>
    <w:p w:rsidR="00CD4A26" w:rsidRDefault="00CD4A26" w:rsidP="00042F7F">
      <w:pPr>
        <w:pStyle w:val="Akapitzlist"/>
        <w:numPr>
          <w:ilvl w:val="0"/>
          <w:numId w:val="39"/>
        </w:numPr>
        <w:spacing w:after="0"/>
        <w:ind w:left="1428"/>
      </w:pPr>
      <w:r>
        <w:t>Bilans: aktywa (trwałe, obrotowe, w tym należności krótkoterminowe)</w:t>
      </w:r>
    </w:p>
    <w:p w:rsidR="00CD4A26" w:rsidRDefault="00CD4A26" w:rsidP="00042F7F">
      <w:pPr>
        <w:pStyle w:val="Akapitzlist"/>
        <w:numPr>
          <w:ilvl w:val="0"/>
          <w:numId w:val="39"/>
        </w:numPr>
        <w:spacing w:after="0"/>
        <w:ind w:left="1428"/>
      </w:pPr>
      <w:r>
        <w:t>Bilans: pasywa (kapitał własny, zobowiązania i rezerwy na zobowiązania, w tym zobowiązania z tytułu kredytów i pożyczek).</w:t>
      </w:r>
    </w:p>
    <w:p w:rsidR="00CD4A26" w:rsidRDefault="00CD4A26" w:rsidP="00042F7F">
      <w:pPr>
        <w:spacing w:after="0"/>
      </w:pPr>
      <w:r>
        <w:t xml:space="preserve">Kluczowe pytanie badawcze niniejszej ewaluacji (pyt. </w:t>
      </w:r>
      <w:r w:rsidR="00752CB4">
        <w:t>a)</w:t>
      </w:r>
      <w:r>
        <w:t xml:space="preserve"> dotyczy weryfikacji tzw. „efektu zachęty” pomocy, czyli odpowiedzi na pytanie czy beneficjenci dokonaliby inwestycji w przedmiotowych obszarach objętych wsparciem, gdyby nie otrzymali dofinansowania POPW 2014-2020 (innymi słowy - czy wsparcie publiczne miało decydujące znaczenie w decyzji przedsiębiorców o realizacji przedmiotowych inwestycji).</w:t>
      </w:r>
      <w:r w:rsidR="00752CB4">
        <w:t xml:space="preserve"> </w:t>
      </w:r>
      <w:r>
        <w:t>Z uwagi na to, że dane zawarte w sprawozdaniach finansowych spółek nie zawierają szczegółowych danych o nakładach inwestycyjnych (z wyjątkiem spółek średnich)</w:t>
      </w:r>
      <w:r>
        <w:rPr>
          <w:rStyle w:val="Odwoanieprzypisudolnego"/>
        </w:rPr>
        <w:footnoteReference w:id="5"/>
      </w:r>
      <w:r>
        <w:t xml:space="preserve">, weryfikacja powyższego będzie mogła odbywać się w sposób pośredni, z wykorzystaniem wskaźników pochodzących z bilansu i </w:t>
      </w:r>
      <w:proofErr w:type="spellStart"/>
      <w:r w:rsidR="00752CB4">
        <w:t>RZiS</w:t>
      </w:r>
      <w:proofErr w:type="spellEnd"/>
      <w:r>
        <w:t xml:space="preserve">. </w:t>
      </w:r>
    </w:p>
    <w:p w:rsidR="00CD4A26" w:rsidRDefault="00CD4A26" w:rsidP="00042F7F">
      <w:pPr>
        <w:spacing w:after="0"/>
      </w:pPr>
      <w:r>
        <w:t xml:space="preserve">Jako propozycję wstępną, Zamawiający sugeruje w tym zakresie Wykonawcy wykorzystanie wskaźników dot. zobowiązań, kosztów zużycia materiałów i energii oraz usług obcych (w </w:t>
      </w:r>
      <w:r>
        <w:lastRenderedPageBreak/>
        <w:t>przypadku spółek innych niż mikro-). W</w:t>
      </w:r>
      <w:r w:rsidR="00752CB4">
        <w:t xml:space="preserve"> przypadku wszystkich </w:t>
      </w:r>
      <w:r>
        <w:t>tych wskaźnik</w:t>
      </w:r>
      <w:r w:rsidR="00752CB4">
        <w:t>ów</w:t>
      </w:r>
      <w:r>
        <w:t xml:space="preserve">, których wartości będą pośrednio powiązane z realizowanymi projektami w firmach, można oczekiwać, że będą one </w:t>
      </w:r>
      <w:r w:rsidR="00752CB4">
        <w:t xml:space="preserve">notowały </w:t>
      </w:r>
      <w:r>
        <w:t xml:space="preserve">wyższe </w:t>
      </w:r>
      <w:r w:rsidR="00752CB4">
        <w:t xml:space="preserve">wartości </w:t>
      </w:r>
      <w:r>
        <w:t xml:space="preserve">w grupie beneficjentów, niż w grupie nieskutecznych wnioskodawców. Dodatkowo, pomocne w weryfikacji </w:t>
      </w:r>
      <w:r w:rsidR="00752CB4">
        <w:t>„</w:t>
      </w:r>
      <w:r>
        <w:t>efektu zachęty</w:t>
      </w:r>
      <w:r w:rsidR="00752CB4">
        <w:t>”</w:t>
      </w:r>
      <w:r>
        <w:t xml:space="preserve"> </w:t>
      </w:r>
      <w:r w:rsidR="00752CB4">
        <w:t xml:space="preserve">pomocy </w:t>
      </w:r>
      <w:r>
        <w:t>POPW mogą być wskaźniki złożone, oparte na danych bilansowych. Przykład może stanowić wskaźnik płynności finansowej długookresowej, stanowiący iloraz wartości kapitału własnego (pasywa) do wartości aktywów trwałych. Wskaźniki płynności finansowej służą ocenie bieżącej sytuacji przedsiębiorstw. „Co do zasady wsparcie publiczne powinno ograniczać potencjalnie, negatywny wpływ inwestycji w przedsiębiorstwach na ich płynność finansową. Służyć temu mają w szczególności rozliczenia częściowe projektów. Oczekuje się więc, że wskaźniki (…) nie powinny być w grupie beneficjentów istotnie gorsze niż w grupie podmiotów, które wsparcia nie otrzymały i nie podjęły się realizacji zaplanowanych inwestycji. Jeśli zaś z analizy (... - por. wskaźniki dot. zobowiązań i kosztów) wynikać będzie, że nieskuteczni wnioskodawcy pomimo braku wsparcia podjęli się realizacji inwestycji, to oczekuje się, że wskaźniki płynności finansowej, będą korzystniej wypadać w przypadku beneficjentów wsparcia."</w:t>
      </w:r>
      <w:r>
        <w:rPr>
          <w:rStyle w:val="Odwoanieprzypisudolnego"/>
        </w:rPr>
        <w:footnoteReference w:id="6"/>
      </w:r>
      <w:r>
        <w:t xml:space="preserve"> </w:t>
      </w:r>
    </w:p>
    <w:p w:rsidR="002A6E4C" w:rsidRDefault="00CD4A26" w:rsidP="00042F7F">
      <w:pPr>
        <w:spacing w:after="0"/>
      </w:pPr>
      <w:r>
        <w:t xml:space="preserve">Ostateczna lista wskaźników </w:t>
      </w:r>
      <w:r w:rsidR="00752CB4">
        <w:t xml:space="preserve">efektów przyczynowych </w:t>
      </w:r>
      <w:r>
        <w:t xml:space="preserve">zostanie ustalona z Wykonawcą na wstępnym etapie realizacji analizy. Źródłami danych dla wskaźników będą </w:t>
      </w:r>
      <w:r w:rsidR="00752CB4">
        <w:t>przede wszystkim dane z sy</w:t>
      </w:r>
      <w:r w:rsidR="00752CB4">
        <w:t>stemu M</w:t>
      </w:r>
      <w:r w:rsidR="00752CB4">
        <w:t xml:space="preserve">inistra Sprawiedliwości (portal </w:t>
      </w:r>
      <w:hyperlink r:id="rId12" w:history="1">
        <w:r w:rsidR="00752CB4" w:rsidRPr="002C1DAC">
          <w:rPr>
            <w:rStyle w:val="Hipercze"/>
          </w:rPr>
          <w:t>https://ekrs.ms.gov.pl/</w:t>
        </w:r>
      </w:hyperlink>
      <w:r w:rsidR="00752CB4">
        <w:t>)</w:t>
      </w:r>
      <w:r w:rsidR="00F53DED">
        <w:t xml:space="preserve">, oraz pomocniczo </w:t>
      </w:r>
      <w:r>
        <w:t>dane z systemów Ministra właściwego ds. rozwoju regionalnego (SL2014)</w:t>
      </w:r>
      <w:r w:rsidR="00752CB4">
        <w:t xml:space="preserve"> i </w:t>
      </w:r>
      <w:r>
        <w:t xml:space="preserve">PARP (Lokalne Systemy Informatyczne). W przypadku tego </w:t>
      </w:r>
      <w:r w:rsidR="00F53DED">
        <w:t xml:space="preserve">pierwszego </w:t>
      </w:r>
      <w:r>
        <w:t xml:space="preserve">źródła, należy podkreślić, że portal </w:t>
      </w:r>
      <w:proofErr w:type="spellStart"/>
      <w:r>
        <w:t>eKRS</w:t>
      </w:r>
      <w:proofErr w:type="spellEnd"/>
      <w:r>
        <w:t xml:space="preserve"> co do zasady dysponuje danymi spółek (w formie elektronicznej, wystandaryzowanej) z lat 2017-2019 (w ograniczonym zakresie można skorzystać z danych pochodzących z 2016</w:t>
      </w:r>
      <w:r w:rsidR="00F53DED">
        <w:t xml:space="preserve"> jako roku poprzedniego, wykazywanego w sprawozdaniu za 2017 r.</w:t>
      </w:r>
      <w:r>
        <w:t xml:space="preserve"> </w:t>
      </w:r>
      <w:r w:rsidR="00F53DED">
        <w:t xml:space="preserve">oraz </w:t>
      </w:r>
      <w:r>
        <w:t>z roku 2020</w:t>
      </w:r>
      <w:r w:rsidR="00F53DED">
        <w:t xml:space="preserve"> – przesunięte terminy sprawozdawcze dla spółek, w związku z pandemią koronawirusa</w:t>
      </w:r>
      <w:r>
        <w:t xml:space="preserve">). Determinuje to zakres możliwych do przeprowadzenia analiz efektów przyczynowych interwencji </w:t>
      </w:r>
      <w:r w:rsidR="00F53DED">
        <w:t xml:space="preserve">POPW </w:t>
      </w:r>
      <w:r>
        <w:t xml:space="preserve">na przedsiębiorstwa jej poddane oraz odpowiedzi na pytania badawcze. Niemniej, analizy te będą możliwe w zakresie, w którym występuje odpowiednie pokrycie danych </w:t>
      </w:r>
      <w:r w:rsidR="00F53DED">
        <w:t xml:space="preserve">spółek </w:t>
      </w:r>
      <w:r>
        <w:t xml:space="preserve">w zbiorach KRS z danymi uczestników </w:t>
      </w:r>
      <w:r w:rsidR="00F53DED">
        <w:t>przedmiotowych działań PARP w ramach POPW</w:t>
      </w:r>
      <w:r>
        <w:t xml:space="preserve"> (por. zestawienie poniżej)</w:t>
      </w:r>
      <w:r w:rsidR="002A6E4C">
        <w:t>.</w:t>
      </w:r>
    </w:p>
    <w:p w:rsidR="002A6E4C" w:rsidRDefault="002A6E4C" w:rsidP="00042F7F">
      <w:pPr>
        <w:spacing w:after="200"/>
      </w:pPr>
      <w:r>
        <w:br w:type="page"/>
      </w:r>
    </w:p>
    <w:p w:rsidR="00CD4A26" w:rsidRPr="00CE0257" w:rsidRDefault="00CD4A26" w:rsidP="00042F7F">
      <w:pPr>
        <w:spacing w:after="0"/>
        <w:rPr>
          <w:b/>
        </w:rPr>
      </w:pPr>
      <w:r w:rsidRPr="002A6E4C">
        <w:lastRenderedPageBreak/>
        <w:t xml:space="preserve">Tabela pokrycia dostępnych danych sprawozdawczych spółek w </w:t>
      </w:r>
      <w:proofErr w:type="spellStart"/>
      <w:r w:rsidRPr="002A6E4C">
        <w:t>eKRS</w:t>
      </w:r>
      <w:proofErr w:type="spellEnd"/>
      <w:r w:rsidRPr="002A6E4C">
        <w:t xml:space="preserve"> dla wnioskodaw</w:t>
      </w:r>
      <w:r w:rsidR="002A6E4C" w:rsidRPr="002A6E4C">
        <w:t>ców przedmiotowych działań POPW</w:t>
      </w:r>
      <w:r w:rsidR="002A6E4C">
        <w:rPr>
          <w:rStyle w:val="Odwoanieprzypisudolnego"/>
          <w:b/>
        </w:rPr>
        <w:footnoteReference w:id="7"/>
      </w:r>
    </w:p>
    <w:p w:rsidR="00CD4A26" w:rsidRDefault="00CD4A26" w:rsidP="00042F7F">
      <w:pPr>
        <w:spacing w:after="0"/>
      </w:pPr>
      <w:r>
        <w:rPr>
          <w:noProof/>
          <w:lang w:val="en-GB" w:eastAsia="en-GB"/>
        </w:rPr>
        <w:drawing>
          <wp:inline distT="0" distB="0" distL="0" distR="0" wp14:anchorId="44643131" wp14:editId="52BFFBA4">
            <wp:extent cx="5153411" cy="2134470"/>
            <wp:effectExtent l="0" t="0" r="0" b="0"/>
            <wp:docPr id="2" name="Obraz 2" descr="Wzór tabeli pokrycia dostępnych danych sprawozdawczych spółek w eKRS dla wnioskodawców przedmiotowych działań PO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483" t="19758" r="39505" b="36790"/>
                    <a:stretch/>
                  </pic:blipFill>
                  <pic:spPr bwMode="auto">
                    <a:xfrm>
                      <a:off x="0" y="0"/>
                      <a:ext cx="5159015" cy="2136791"/>
                    </a:xfrm>
                    <a:prstGeom prst="rect">
                      <a:avLst/>
                    </a:prstGeom>
                    <a:ln>
                      <a:noFill/>
                    </a:ln>
                    <a:extLst>
                      <a:ext uri="{53640926-AAD7-44D8-BBD7-CCE9431645EC}">
                        <a14:shadowObscured xmlns:a14="http://schemas.microsoft.com/office/drawing/2010/main"/>
                      </a:ext>
                    </a:extLst>
                  </pic:spPr>
                </pic:pic>
              </a:graphicData>
            </a:graphic>
          </wp:inline>
        </w:drawing>
      </w:r>
    </w:p>
    <w:p w:rsidR="00CD4A26" w:rsidRPr="00591B9C" w:rsidRDefault="00CD4A26" w:rsidP="00042F7F">
      <w:pPr>
        <w:spacing w:after="0"/>
        <w:rPr>
          <w:rStyle w:val="Odwoanieintensywne"/>
        </w:rPr>
      </w:pPr>
      <w:r w:rsidRPr="00591B9C">
        <w:rPr>
          <w:rStyle w:val="Odwoanieintensywne"/>
        </w:rPr>
        <w:t xml:space="preserve">Zakres dostępnych danych na potrzeby analizy: </w:t>
      </w:r>
    </w:p>
    <w:p w:rsidR="00CD4A26" w:rsidRPr="002B25B1" w:rsidRDefault="00CD4A26" w:rsidP="00042F7F">
      <w:pPr>
        <w:spacing w:after="0"/>
      </w:pPr>
      <w:r>
        <w:t xml:space="preserve">1) </w:t>
      </w:r>
      <w:r w:rsidRPr="002B25B1">
        <w:t>Źródła danych będące w dyspozycji PARP:</w:t>
      </w:r>
    </w:p>
    <w:p w:rsidR="00CD4A26" w:rsidRDefault="00CD4A26" w:rsidP="00042F7F">
      <w:pPr>
        <w:pStyle w:val="Akapitzlist"/>
        <w:numPr>
          <w:ilvl w:val="0"/>
          <w:numId w:val="40"/>
        </w:numPr>
        <w:spacing w:after="0"/>
      </w:pPr>
      <w:r>
        <w:t>Dane dotyczące wniosków o dofinansowanie, zawierające charakterystyki aplikujących przedsiębiorstw i ich projektów w ramach przedmiotowych działań POPW,</w:t>
      </w:r>
    </w:p>
    <w:p w:rsidR="00CD4A26" w:rsidRDefault="00CD4A26" w:rsidP="00F53DED">
      <w:pPr>
        <w:pStyle w:val="Akapitzlist"/>
        <w:numPr>
          <w:ilvl w:val="0"/>
          <w:numId w:val="40"/>
        </w:numPr>
        <w:spacing w:after="0"/>
      </w:pPr>
      <w:r>
        <w:t>Dane dotyczące umów o dofinansowanie, zawierające charakterystyki beneficjentów i dofinansowanych projektów w ramach przedmiotowych działań POPW,</w:t>
      </w:r>
    </w:p>
    <w:p w:rsidR="00CD4A26" w:rsidRDefault="00CD4A26" w:rsidP="00042F7F">
      <w:pPr>
        <w:pStyle w:val="Akapitzlist"/>
        <w:numPr>
          <w:ilvl w:val="0"/>
          <w:numId w:val="40"/>
        </w:numPr>
        <w:spacing w:after="0"/>
      </w:pPr>
      <w:r>
        <w:t>Dane spółek-wnioskodawców (w tym beneficjentów) pochodzące z rocznych sprawozdań finansowych KRS (dane dla ok. 4,5 tys. spółek, średnio po 3-4 lata sprawozdawcze w okresie 2017-2020</w:t>
      </w:r>
      <w:r w:rsidR="00F53DED">
        <w:t xml:space="preserve"> na spółkę</w:t>
      </w:r>
      <w:r>
        <w:t>; zbiór stanowić będzie płaską tabelę zapisaną w formacie .</w:t>
      </w:r>
      <w:proofErr w:type="spellStart"/>
      <w:r>
        <w:t>csv</w:t>
      </w:r>
      <w:proofErr w:type="spellEnd"/>
      <w:r>
        <w:rPr>
          <w:rStyle w:val="Odwoanieprzypisudolnego"/>
        </w:rPr>
        <w:footnoteReference w:id="8"/>
      </w:r>
      <w:r>
        <w:t>, która powstanie z integracji kilkunastu tysięcy plików sprawozdawczych .</w:t>
      </w:r>
      <w:proofErr w:type="spellStart"/>
      <w:r>
        <w:t>xml</w:t>
      </w:r>
      <w:proofErr w:type="spellEnd"/>
      <w:r>
        <w:t xml:space="preserve">, pobieranych z portalu </w:t>
      </w:r>
      <w:hyperlink r:id="rId14" w:history="1">
        <w:r w:rsidRPr="002C1DAC">
          <w:rPr>
            <w:rStyle w:val="Hipercze"/>
          </w:rPr>
          <w:t>https://ekrs.ms.gov.pl/</w:t>
        </w:r>
      </w:hyperlink>
      <w:r>
        <w:t xml:space="preserve">; zakres danych będzie różny dla spółek danej klasy wielkości przedsiębiorstwa – zgodnie z zakresem danych, które spółki danej wielkości sprawozdają do KRS), </w:t>
      </w:r>
    </w:p>
    <w:p w:rsidR="00CD4A26" w:rsidRDefault="00F53DED" w:rsidP="00042F7F">
      <w:pPr>
        <w:pStyle w:val="Akapitzlist"/>
        <w:numPr>
          <w:ilvl w:val="0"/>
          <w:numId w:val="40"/>
        </w:numPr>
        <w:spacing w:after="0"/>
      </w:pPr>
      <w:r>
        <w:t xml:space="preserve">Opcjonalnie: </w:t>
      </w:r>
      <w:r w:rsidR="00CD4A26">
        <w:t>Ogólnodostępne dane pochodzące z Listy beneficjentów Funduszy Europejskich 2007-2013, 2014-2020 (o ile to będzie możliwe, zostaną one uzupełnione o odpowiednie identyfikatory, pozwalające na ich łączenie z danymi KRS – np. np. NIP, KRS i/lub REGON),</w:t>
      </w:r>
    </w:p>
    <w:p w:rsidR="00CD4A26" w:rsidRDefault="00CD4A26" w:rsidP="00042F7F">
      <w:pPr>
        <w:pStyle w:val="Akapitzlist"/>
        <w:numPr>
          <w:ilvl w:val="0"/>
          <w:numId w:val="40"/>
        </w:numPr>
        <w:spacing w:after="0"/>
      </w:pPr>
      <w:r>
        <w:lastRenderedPageBreak/>
        <w:t xml:space="preserve">Opcjonalnie: Ogólnodostępne dane pochodzące z rejestru REGON </w:t>
      </w:r>
      <w:hyperlink r:id="rId15" w:history="1">
        <w:r w:rsidRPr="002C1DAC">
          <w:rPr>
            <w:rStyle w:val="Hipercze"/>
          </w:rPr>
          <w:t>https://wyszukiwarkaregon.stat.gov.pl</w:t>
        </w:r>
      </w:hyperlink>
      <w:r>
        <w:rPr>
          <w:rStyle w:val="Hipercze"/>
        </w:rPr>
        <w:t xml:space="preserve"> </w:t>
      </w:r>
      <w:r w:rsidR="00F53DED">
        <w:t xml:space="preserve"> - m</w:t>
      </w:r>
      <w:r>
        <w:t>.in. pozwol</w:t>
      </w:r>
      <w:r w:rsidR="00F53DED">
        <w:t xml:space="preserve">iłyby one </w:t>
      </w:r>
      <w:r>
        <w:t xml:space="preserve">zweryfikować czy działalność gospodarcza danej spółki jest prowadzona czy nie (zawieszenie, wyrejestrowanie z REGON), co z kolei może stanowić wyjaśnienie braku sprawozdania finansowego w </w:t>
      </w:r>
      <w:proofErr w:type="spellStart"/>
      <w:r>
        <w:t>eKRS</w:t>
      </w:r>
      <w:proofErr w:type="spellEnd"/>
      <w:r>
        <w:t xml:space="preserve"> dla spółki od określonego roku obrachunkowego.</w:t>
      </w:r>
    </w:p>
    <w:p w:rsidR="00CD4A26" w:rsidRDefault="00CD4A26" w:rsidP="00042F7F">
      <w:pPr>
        <w:spacing w:after="0"/>
      </w:pPr>
      <w:r>
        <w:t>Ww. zbiory danych zostaną przekazane Wykonawcy po podpisaniu umowy na realizację analizy eksperckiej</w:t>
      </w:r>
      <w:r w:rsidR="00F53DED">
        <w:t xml:space="preserve"> (z zastrzeżeniem opcjonalnych)</w:t>
      </w:r>
      <w:r>
        <w:t xml:space="preserve">. </w:t>
      </w:r>
    </w:p>
    <w:p w:rsidR="00CD4A26" w:rsidRDefault="00CD4A26" w:rsidP="00042F7F">
      <w:pPr>
        <w:spacing w:after="0"/>
      </w:pPr>
      <w:r>
        <w:t>2) Źródła danych</w:t>
      </w:r>
      <w:r w:rsidR="00F53DED">
        <w:t xml:space="preserve"> mogące być</w:t>
      </w:r>
      <w:r>
        <w:t xml:space="preserve"> ewentualnie w dyspozycji Wykonawcy: </w:t>
      </w:r>
    </w:p>
    <w:p w:rsidR="00CD4A26" w:rsidRDefault="00CD4A26" w:rsidP="00F53DED">
      <w:pPr>
        <w:pStyle w:val="Akapitzlist"/>
        <w:numPr>
          <w:ilvl w:val="0"/>
          <w:numId w:val="41"/>
        </w:numPr>
        <w:spacing w:after="0"/>
      </w:pPr>
      <w:r>
        <w:t xml:space="preserve">Ogólnopolskie dane pochodzące ze sprawozdań finansowych KRS </w:t>
      </w:r>
      <w:hyperlink r:id="rId16" w:history="1">
        <w:r w:rsidRPr="002C1DAC">
          <w:rPr>
            <w:rStyle w:val="Hipercze"/>
          </w:rPr>
          <w:t>https://ekrs.ms.gov.pl/</w:t>
        </w:r>
      </w:hyperlink>
      <w:r>
        <w:rPr>
          <w:rStyle w:val="Hipercze"/>
        </w:rPr>
        <w:t xml:space="preserve"> </w:t>
      </w:r>
      <w:r>
        <w:t>(np. dane spółek innych niż wnioskodawcy POPW, dane uzupełniające dla wnioskodawców  – jeśli mają zastosowanie),</w:t>
      </w:r>
    </w:p>
    <w:p w:rsidR="00CD4A26" w:rsidRDefault="00CD4A26" w:rsidP="00F53DED">
      <w:pPr>
        <w:pStyle w:val="Akapitzlist"/>
        <w:numPr>
          <w:ilvl w:val="0"/>
          <w:numId w:val="41"/>
        </w:numPr>
        <w:spacing w:after="0"/>
      </w:pPr>
      <w:r>
        <w:t>Inne dane zewnętrzne (np. dane z rejestru pomocy publicznej SUDOP, itp. - jeśli mają zastosowanie)</w:t>
      </w:r>
      <w:r w:rsidR="00F53DED">
        <w:t>.</w:t>
      </w:r>
      <w:r>
        <w:t xml:space="preserve"> </w:t>
      </w:r>
    </w:p>
    <w:p w:rsidR="00CD4A26" w:rsidRDefault="00CD4A26" w:rsidP="00042F7F">
      <w:pPr>
        <w:spacing w:after="0"/>
        <w:rPr>
          <w:rStyle w:val="Odwoanieintensywne"/>
        </w:rPr>
      </w:pPr>
      <w:r w:rsidRPr="00591B9C">
        <w:rPr>
          <w:rStyle w:val="Odwoanieintensywne"/>
        </w:rPr>
        <w:t xml:space="preserve">Sposób realizacji </w:t>
      </w:r>
    </w:p>
    <w:p w:rsidR="00CD4A26" w:rsidRDefault="00CD4A26" w:rsidP="00042F7F">
      <w:pPr>
        <w:spacing w:after="0"/>
      </w:pPr>
      <w:r>
        <w:t>Badanie będzie realizowane przez Wykonawc</w:t>
      </w:r>
      <w:r w:rsidR="002A6E4C">
        <w:t xml:space="preserve">ę w ścisłej współpracy z PARP. </w:t>
      </w:r>
      <w:r>
        <w:t xml:space="preserve">W pierwszym etapie prac współpraca pozwoli na przygotowanie </w:t>
      </w:r>
      <w:r w:rsidR="00F53DED">
        <w:t>P</w:t>
      </w:r>
      <w:r>
        <w:t>lanu analiz (uzgodnionej sekwencji działań analitycznych i ich oczekiwanych skutków), który docelowo zostanie przez Wykonawcę zrealizowany. Plan analiz powinien zawierać takie elementy jak:</w:t>
      </w:r>
    </w:p>
    <w:p w:rsidR="00CD4A26" w:rsidRDefault="00CD4A26" w:rsidP="00042F7F">
      <w:pPr>
        <w:pStyle w:val="Akapitzlist"/>
        <w:numPr>
          <w:ilvl w:val="0"/>
          <w:numId w:val="45"/>
        </w:numPr>
        <w:spacing w:after="0"/>
      </w:pPr>
      <w:r>
        <w:t xml:space="preserve">analiza, czyszczenie, łączenie (dotyczy danych innych niż </w:t>
      </w:r>
      <w:proofErr w:type="spellStart"/>
      <w:r>
        <w:t>eKRS</w:t>
      </w:r>
      <w:proofErr w:type="spellEnd"/>
      <w:r>
        <w:t xml:space="preserve"> i SL/LSI PARP) i odpowiednie przekształcenia zbiorów przekazanych przez Zamawiającego,</w:t>
      </w:r>
    </w:p>
    <w:p w:rsidR="00CD4A26" w:rsidRDefault="00CD4A26" w:rsidP="00042F7F">
      <w:pPr>
        <w:pStyle w:val="Akapitzlist"/>
        <w:numPr>
          <w:ilvl w:val="0"/>
          <w:numId w:val="45"/>
        </w:numPr>
        <w:spacing w:after="0"/>
      </w:pPr>
      <w:r>
        <w:t xml:space="preserve">uzupełnienie zbiorów o dodatkowe charakterystyki / dane zewnętrzne (jeśli ma zastosowanie), </w:t>
      </w:r>
    </w:p>
    <w:p w:rsidR="00CD4A26" w:rsidRDefault="00CD4A26" w:rsidP="00042F7F">
      <w:pPr>
        <w:pStyle w:val="Akapitzlist"/>
        <w:numPr>
          <w:ilvl w:val="0"/>
          <w:numId w:val="45"/>
        </w:numPr>
        <w:spacing w:after="0"/>
      </w:pPr>
      <w:r>
        <w:t>wybór zmiennych kontrolnych i wskaźników pomiaru efektu oraz zbadanie ich rozkładów (zawężenie listy docelowej, wykluczenie z puli kontrolnej jednostek odstających, itp.)</w:t>
      </w:r>
    </w:p>
    <w:p w:rsidR="00CD4A26" w:rsidRDefault="00CD4A26" w:rsidP="00042F7F">
      <w:pPr>
        <w:pStyle w:val="Akapitzlist"/>
        <w:numPr>
          <w:ilvl w:val="0"/>
          <w:numId w:val="45"/>
        </w:numPr>
        <w:spacing w:after="0"/>
      </w:pPr>
      <w:r>
        <w:t>przekształcenie danych w zbiorach na potrzeby dopasowania grupy kontrolnej (</w:t>
      </w:r>
      <w:proofErr w:type="spellStart"/>
      <w:r>
        <w:t>rekodowanie</w:t>
      </w:r>
      <w:proofErr w:type="spellEnd"/>
      <w:r>
        <w:t xml:space="preserve"> zmiennych, przekształcenia funkcyjne, itp.), </w:t>
      </w:r>
    </w:p>
    <w:p w:rsidR="00CD4A26" w:rsidRDefault="00CD4A26" w:rsidP="00042F7F">
      <w:pPr>
        <w:pStyle w:val="Akapitzlist"/>
        <w:numPr>
          <w:ilvl w:val="0"/>
          <w:numId w:val="45"/>
        </w:numPr>
        <w:spacing w:after="0"/>
      </w:pPr>
      <w:r>
        <w:t xml:space="preserve">analizy rozkładów, korelacji, współliniowości itp. uzyskanych zmiennych, w celu węższej selekcji zmiennych kontrolnych i weryfikacji pokrycia „obszaru wspólnego” próby beneficjentów i puli kontrolnej, </w:t>
      </w:r>
    </w:p>
    <w:p w:rsidR="00CD4A26" w:rsidRDefault="00CD4A26" w:rsidP="00042F7F">
      <w:pPr>
        <w:pStyle w:val="Akapitzlist"/>
        <w:numPr>
          <w:ilvl w:val="0"/>
          <w:numId w:val="45"/>
        </w:numPr>
        <w:spacing w:after="0"/>
      </w:pPr>
      <w:r>
        <w:t xml:space="preserve">wybór techniki dopasowania grupy kontrolnej (1 do 1, 1 do wielu, limit), oszacowanie modeli </w:t>
      </w:r>
      <w:proofErr w:type="spellStart"/>
      <w:r>
        <w:t>propensity</w:t>
      </w:r>
      <w:proofErr w:type="spellEnd"/>
      <w:r>
        <w:t xml:space="preserve"> </w:t>
      </w:r>
      <w:proofErr w:type="spellStart"/>
      <w:r>
        <w:t>score</w:t>
      </w:r>
      <w:proofErr w:type="spellEnd"/>
      <w:r>
        <w:t xml:space="preserve"> lub równoważne, dopasowanie i weryfikacja jakości dopasowania, </w:t>
      </w:r>
    </w:p>
    <w:p w:rsidR="00CD4A26" w:rsidRDefault="00CD4A26" w:rsidP="00042F7F">
      <w:pPr>
        <w:pStyle w:val="Akapitzlist"/>
        <w:numPr>
          <w:ilvl w:val="0"/>
          <w:numId w:val="45"/>
        </w:numPr>
        <w:spacing w:after="0"/>
      </w:pPr>
      <w:r>
        <w:t>przygotowanie danych służących jako wskaźniki pomiar</w:t>
      </w:r>
      <w:r w:rsidR="00090FA3">
        <w:t>u</w:t>
      </w:r>
      <w:r>
        <w:t xml:space="preserve"> efektu (np. uwzględnienie w zbiorze wskaźników złożonych np. płynności długookresowej, sumy bilansowej, obliczenia różnic </w:t>
      </w:r>
      <w:proofErr w:type="spellStart"/>
      <w:r>
        <w:t>DiD</w:t>
      </w:r>
      <w:proofErr w:type="spellEnd"/>
      <w:r>
        <w:t xml:space="preserve"> lub równoważne) i określenie efektów przyczynowych, </w:t>
      </w:r>
    </w:p>
    <w:p w:rsidR="00CD4A26" w:rsidRDefault="00CD4A26" w:rsidP="00042F7F">
      <w:pPr>
        <w:pStyle w:val="Akapitzlist"/>
        <w:numPr>
          <w:ilvl w:val="0"/>
          <w:numId w:val="45"/>
        </w:numPr>
        <w:spacing w:after="0"/>
        <w:jc w:val="both"/>
      </w:pPr>
      <w:r>
        <w:lastRenderedPageBreak/>
        <w:t xml:space="preserve">ewentualnie oszacowanie efektów przyczynowych w dodatkowych podgrupach (powtórzenie wcześniejszych kroków) np. wg klasy wielkości przedsiębiorstwa. </w:t>
      </w:r>
    </w:p>
    <w:p w:rsidR="00CD4A26" w:rsidRDefault="00CD4A26" w:rsidP="00042F7F">
      <w:pPr>
        <w:spacing w:after="0"/>
        <w:jc w:val="both"/>
      </w:pPr>
      <w:r>
        <w:t xml:space="preserve">Zamawiający dopuszcza zawężenie zakresu analiz w toku realizacji zamówienia, uwzględniając ograniczenia danych i traktować będzie tego typu decyzje analityczne, o ile będą uzgodnione z Zamawiającym, jako nie wpływające na należyte wykonanie zamówienia. Jako punkt wyjścia Zamawiający oczekuje analizy w 3 układach, w podziale na przedmiotowe działania POPW (I.2, I.3.1 i I.4). Wstępnie na tym etapie Zamawiający bierze już jednak pod uwagę różnego typu kondensacje (np. połączenie działań proinnowacyjnych w jeden układ analityczny – I.3.1+I.4 POPW) lub redukcje (np. wyeliminowanie firm mikro-, wyeliminowanie działania proeksportowego I.2 POPW) i tym podobne (np. analizy efektów działań proinnowacyjnych tylko w grupie firm średnich, analizy efektów działania proeksportowego tylko w grupie firm małych) – w zależności od zidentyfikowanych możliwości i ograniczeń wynikających z dostępnych danych źródłowych oraz skutków jakie mogą one mieć dla procesu wnioskowania. </w:t>
      </w:r>
    </w:p>
    <w:p w:rsidR="00CD4A26" w:rsidRPr="00800766" w:rsidRDefault="00CD4A26" w:rsidP="00042F7F">
      <w:pPr>
        <w:spacing w:after="0"/>
        <w:rPr>
          <w:rStyle w:val="Odwoanieintensywne"/>
        </w:rPr>
      </w:pPr>
      <w:r w:rsidRPr="00800766">
        <w:rPr>
          <w:rStyle w:val="Odwoanieintensywne"/>
        </w:rPr>
        <w:t xml:space="preserve">Produkty </w:t>
      </w:r>
    </w:p>
    <w:p w:rsidR="00CD4A26" w:rsidRDefault="00CD4A26" w:rsidP="00042F7F">
      <w:pPr>
        <w:pStyle w:val="Akapitzlist"/>
        <w:numPr>
          <w:ilvl w:val="0"/>
          <w:numId w:val="46"/>
        </w:numPr>
        <w:spacing w:after="0"/>
      </w:pPr>
      <w:r>
        <w:t xml:space="preserve">Plan analiz (wersja przed- i </w:t>
      </w:r>
      <w:proofErr w:type="spellStart"/>
      <w:r>
        <w:t>porealizacyjna</w:t>
      </w:r>
      <w:proofErr w:type="spellEnd"/>
      <w:r>
        <w:t>, dokumentująca kluczowe kroki i decyzje analityczne) (w różnych formatach)</w:t>
      </w:r>
      <w:r w:rsidR="00090FA3">
        <w:t>,</w:t>
      </w:r>
      <w:r>
        <w:t xml:space="preserve"> </w:t>
      </w:r>
    </w:p>
    <w:p w:rsidR="00CD4A26" w:rsidRDefault="00CD4A26" w:rsidP="00042F7F">
      <w:pPr>
        <w:pStyle w:val="Akapitzlist"/>
        <w:numPr>
          <w:ilvl w:val="0"/>
          <w:numId w:val="46"/>
        </w:numPr>
        <w:spacing w:after="0"/>
      </w:pPr>
      <w:r>
        <w:t>Raport z analizy eksperckiej w formie prezentacji (.</w:t>
      </w:r>
      <w:proofErr w:type="spellStart"/>
      <w:r>
        <w:t>pptx</w:t>
      </w:r>
      <w:proofErr w:type="spellEnd"/>
      <w:r>
        <w:t>) (do 40 slajdów)</w:t>
      </w:r>
      <w:r w:rsidR="00090FA3">
        <w:t>,</w:t>
      </w:r>
    </w:p>
    <w:p w:rsidR="00CD4A26" w:rsidRDefault="00CD4A26" w:rsidP="00042F7F">
      <w:pPr>
        <w:pStyle w:val="Akapitzlist"/>
        <w:numPr>
          <w:ilvl w:val="0"/>
          <w:numId w:val="46"/>
        </w:numPr>
        <w:spacing w:after="0"/>
      </w:pPr>
      <w:r>
        <w:t>Opisowa synteza wyników analizy eksperckiej (.</w:t>
      </w:r>
      <w:proofErr w:type="spellStart"/>
      <w:r>
        <w:t>docx</w:t>
      </w:r>
      <w:proofErr w:type="spellEnd"/>
      <w:r>
        <w:t>) (do 3</w:t>
      </w:r>
      <w:r w:rsidR="00090FA3">
        <w:t>0 stron, 1800 znaków na stronę).</w:t>
      </w:r>
    </w:p>
    <w:p w:rsidR="00CD4A26" w:rsidRPr="00591B9C" w:rsidRDefault="00CD4A26" w:rsidP="00042F7F">
      <w:pPr>
        <w:spacing w:after="0"/>
        <w:rPr>
          <w:rStyle w:val="Odwoanieintensywne"/>
        </w:rPr>
      </w:pPr>
      <w:r w:rsidRPr="00591B9C">
        <w:rPr>
          <w:rStyle w:val="Odwoanieintensywne"/>
        </w:rPr>
        <w:t xml:space="preserve">Ogólny harmonogram realizacji </w:t>
      </w:r>
    </w:p>
    <w:p w:rsidR="00CD4A26" w:rsidRDefault="00CD4A26" w:rsidP="00042F7F">
      <w:pPr>
        <w:pStyle w:val="Akapitzlist"/>
        <w:numPr>
          <w:ilvl w:val="0"/>
          <w:numId w:val="42"/>
        </w:numPr>
        <w:spacing w:after="0"/>
      </w:pPr>
      <w:r>
        <w:t xml:space="preserve">Uzgodnienie planu analiz (wersja </w:t>
      </w:r>
      <w:proofErr w:type="spellStart"/>
      <w:r>
        <w:t>przedrealizacyjna</w:t>
      </w:r>
      <w:proofErr w:type="spellEnd"/>
      <w:r>
        <w:t>) pomiędzy Wykonawcą a Zamawiającym (do 2 tygodni od podpisania umowy)</w:t>
      </w:r>
      <w:r w:rsidR="00090FA3">
        <w:t>,</w:t>
      </w:r>
    </w:p>
    <w:p w:rsidR="00CD4A26" w:rsidRDefault="00CD4A26" w:rsidP="00042F7F">
      <w:pPr>
        <w:pStyle w:val="Akapitzlist"/>
        <w:numPr>
          <w:ilvl w:val="0"/>
          <w:numId w:val="42"/>
        </w:numPr>
        <w:spacing w:after="0"/>
      </w:pPr>
      <w:r>
        <w:t>Proces analityczny – uzupełnienie i przekształcenia zbiorów, dopasowanie (PSM lub równoważne), analizy różnic (</w:t>
      </w:r>
      <w:proofErr w:type="spellStart"/>
      <w:r>
        <w:t>DiD</w:t>
      </w:r>
      <w:proofErr w:type="spellEnd"/>
      <w:r>
        <w:t xml:space="preserve"> lub równoważne) (do 8 tygodnia od podpisania umowy)</w:t>
      </w:r>
      <w:r w:rsidR="00090FA3">
        <w:t>,</w:t>
      </w:r>
    </w:p>
    <w:p w:rsidR="00CD4A26" w:rsidRDefault="00CD4A26" w:rsidP="00042F7F">
      <w:pPr>
        <w:pStyle w:val="Akapitzlist"/>
        <w:numPr>
          <w:ilvl w:val="0"/>
          <w:numId w:val="42"/>
        </w:numPr>
        <w:spacing w:after="0"/>
      </w:pPr>
      <w:r>
        <w:t>Interpretacja, opis wyników, sformułowanie wniosków w założonej formie raportowania (do 10 tygodnia od podpisania umowy)</w:t>
      </w:r>
      <w:r w:rsidR="00090FA3">
        <w:t>.</w:t>
      </w:r>
    </w:p>
    <w:p w:rsidR="00CD4A26" w:rsidRDefault="00CD4A26" w:rsidP="00042F7F">
      <w:pPr>
        <w:spacing w:after="0"/>
        <w:rPr>
          <w:rStyle w:val="Odwoanieintensywne"/>
        </w:rPr>
      </w:pPr>
      <w:r w:rsidRPr="00800766">
        <w:rPr>
          <w:rStyle w:val="Odwoanieintensywne"/>
        </w:rPr>
        <w:t xml:space="preserve">Odbiorcy </w:t>
      </w:r>
    </w:p>
    <w:p w:rsidR="00CD4A26" w:rsidRDefault="00CD4A26" w:rsidP="00090FA3">
      <w:pPr>
        <w:spacing w:before="0" w:after="0"/>
      </w:pPr>
      <w:r>
        <w:t>Głównymi odbiorcami analizy eksperckiej będą:</w:t>
      </w:r>
    </w:p>
    <w:p w:rsidR="00CD4A26" w:rsidRDefault="00CD4A26" w:rsidP="00042F7F">
      <w:pPr>
        <w:pStyle w:val="Akapitzlist"/>
        <w:numPr>
          <w:ilvl w:val="0"/>
          <w:numId w:val="36"/>
        </w:numPr>
        <w:spacing w:after="0"/>
      </w:pPr>
      <w:r>
        <w:t>Komisja Europejska</w:t>
      </w:r>
    </w:p>
    <w:p w:rsidR="00CD4A26" w:rsidRDefault="00CD4A26" w:rsidP="00042F7F">
      <w:pPr>
        <w:pStyle w:val="Akapitzlist"/>
        <w:numPr>
          <w:ilvl w:val="0"/>
          <w:numId w:val="36"/>
        </w:numPr>
        <w:spacing w:after="0"/>
      </w:pPr>
      <w:r>
        <w:t>Ministerstwo Funduszy i Polityki Regionalnej – Instytucja Zarządzająca POPW</w:t>
      </w:r>
    </w:p>
    <w:p w:rsidR="00CD4A26" w:rsidRDefault="00CD4A26" w:rsidP="00042F7F">
      <w:pPr>
        <w:pStyle w:val="Akapitzlist"/>
        <w:numPr>
          <w:ilvl w:val="0"/>
          <w:numId w:val="36"/>
        </w:numPr>
        <w:spacing w:after="0"/>
      </w:pPr>
      <w:r>
        <w:t>Polska Agencja Rozwoju Przedsiębiorczości – Instytucja Pośrednicząca POPW</w:t>
      </w:r>
    </w:p>
    <w:p w:rsidR="00CD4A26" w:rsidRDefault="00CD4A26" w:rsidP="00042F7F">
      <w:pPr>
        <w:pStyle w:val="Akapitzlist"/>
        <w:numPr>
          <w:ilvl w:val="0"/>
          <w:numId w:val="36"/>
        </w:numPr>
        <w:spacing w:after="0"/>
      </w:pPr>
      <w:r>
        <w:t>Opinia publiczna</w:t>
      </w:r>
      <w:r w:rsidR="00090FA3">
        <w:t>.</w:t>
      </w:r>
      <w:bookmarkStart w:id="1" w:name="_GoBack"/>
      <w:bookmarkEnd w:id="1"/>
    </w:p>
    <w:sectPr w:rsidR="00CD4A26" w:rsidSect="00E45648">
      <w:headerReference w:type="default" r:id="rId17"/>
      <w:footerReference w:type="default" r:id="rId1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64A" w:rsidRDefault="0011364A" w:rsidP="00774E22">
      <w:r>
        <w:separator/>
      </w:r>
    </w:p>
  </w:endnote>
  <w:endnote w:type="continuationSeparator" w:id="0">
    <w:p w:rsidR="0011364A" w:rsidRDefault="0011364A" w:rsidP="00774E22">
      <w:r>
        <w:continuationSeparator/>
      </w:r>
    </w:p>
  </w:endnote>
  <w:endnote w:type="continuationNotice" w:id="1">
    <w:p w:rsidR="0011364A" w:rsidRDefault="0011364A" w:rsidP="00774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022611"/>
      <w:docPartObj>
        <w:docPartGallery w:val="Page Numbers (Bottom of Page)"/>
        <w:docPartUnique/>
      </w:docPartObj>
    </w:sdtPr>
    <w:sdtEndPr/>
    <w:sdtContent>
      <w:p w:rsidR="00774E22" w:rsidRDefault="0011364A" w:rsidP="00774E22">
        <w:pPr>
          <w:pStyle w:val="Stopka"/>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E22" w:rsidRPr="00BD7EBF" w:rsidRDefault="00774E22" w:rsidP="00774E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64A" w:rsidRDefault="0011364A" w:rsidP="00774E22">
      <w:r>
        <w:separator/>
      </w:r>
    </w:p>
  </w:footnote>
  <w:footnote w:type="continuationSeparator" w:id="0">
    <w:p w:rsidR="0011364A" w:rsidRDefault="0011364A" w:rsidP="00774E22">
      <w:r>
        <w:continuationSeparator/>
      </w:r>
    </w:p>
  </w:footnote>
  <w:footnote w:type="continuationNotice" w:id="1">
    <w:p w:rsidR="0011364A" w:rsidRDefault="0011364A" w:rsidP="00774E22"/>
  </w:footnote>
  <w:footnote w:id="2">
    <w:p w:rsidR="00CD4A26" w:rsidRDefault="00CD4A26" w:rsidP="00CD4A26">
      <w:pPr>
        <w:pStyle w:val="Tekstprzypisudolnego"/>
      </w:pPr>
      <w:r>
        <w:rPr>
          <w:rStyle w:val="Odwoanieprzypisudolnego"/>
        </w:rPr>
        <w:footnoteRef/>
      </w:r>
      <w:r>
        <w:t xml:space="preserve"> </w:t>
      </w:r>
      <w:r w:rsidRPr="001C34BD">
        <w:t xml:space="preserve">Uzasadnienie </w:t>
      </w:r>
      <w:r>
        <w:t xml:space="preserve">opracowano na podstawie </w:t>
      </w:r>
      <w:r w:rsidRPr="001C34BD">
        <w:t>fiszki pracy badawczej</w:t>
      </w:r>
      <w:r>
        <w:t xml:space="preserve"> PARP-GUS, służącej analizom kontrfaktycznym na potrzeby programu pomocowego PARP.</w:t>
      </w:r>
    </w:p>
  </w:footnote>
  <w:footnote w:id="3">
    <w:p w:rsidR="00CD4A26" w:rsidRDefault="00CD4A26" w:rsidP="00CD4A26">
      <w:pPr>
        <w:pStyle w:val="Tekstprzypisudolnego"/>
      </w:pPr>
      <w:r>
        <w:rPr>
          <w:rStyle w:val="Odwoanieprzypisudolnego"/>
        </w:rPr>
        <w:footnoteRef/>
      </w:r>
      <w:r>
        <w:t xml:space="preserve"> </w:t>
      </w:r>
      <w:r w:rsidRPr="00345274">
        <w:t xml:space="preserve">Odpowiedź na drugie pytanie, wymaga odwołania się do koncepcji tzw. ewaluacji opartej na teorii (ang. </w:t>
      </w:r>
      <w:proofErr w:type="spellStart"/>
      <w:r w:rsidRPr="00345274">
        <w:t>Theory-based</w:t>
      </w:r>
      <w:proofErr w:type="spellEnd"/>
      <w:r w:rsidRPr="00345274">
        <w:t xml:space="preserve"> </w:t>
      </w:r>
      <w:proofErr w:type="spellStart"/>
      <w:r w:rsidRPr="00345274">
        <w:t>evaluation</w:t>
      </w:r>
      <w:proofErr w:type="spellEnd"/>
      <w:r w:rsidRPr="00345274">
        <w:t xml:space="preserve">), która koncentruje się m.in. na interpretacji wyników analiz kontrfaktycznych w świetle teorii zmian i przyjętej logiki interwencji. Współpraca z </w:t>
      </w:r>
      <w:r>
        <w:t xml:space="preserve">Wykonawcą </w:t>
      </w:r>
      <w:r w:rsidRPr="00345274">
        <w:t xml:space="preserve">powinna pozwolić uzyskać odpowiedź przede wszystkim na pierwsze z wskazanych pytań. </w:t>
      </w:r>
    </w:p>
  </w:footnote>
  <w:footnote w:id="4">
    <w:p w:rsidR="00CD4A26" w:rsidRDefault="00CD4A26" w:rsidP="00CD4A26">
      <w:pPr>
        <w:spacing w:after="0"/>
      </w:pPr>
      <w:r>
        <w:rPr>
          <w:rStyle w:val="Odwoanieprzypisudolnego"/>
        </w:rPr>
        <w:footnoteRef/>
      </w:r>
      <w:r>
        <w:t xml:space="preserve"> </w:t>
      </w:r>
      <w:r w:rsidRPr="000E55C7">
        <w:rPr>
          <w:sz w:val="20"/>
        </w:rPr>
        <w:t xml:space="preserve">Zamawiający bierze pod uwagę, że przeprowadzenie szeregu procedur statystycznych w ramach analizy kontrfaktycznej (np. dopasowania - ang. </w:t>
      </w:r>
      <w:proofErr w:type="spellStart"/>
      <w:r w:rsidRPr="000E55C7">
        <w:rPr>
          <w:sz w:val="20"/>
        </w:rPr>
        <w:t>matching</w:t>
      </w:r>
      <w:proofErr w:type="spellEnd"/>
      <w:r w:rsidRPr="000E55C7">
        <w:rPr>
          <w:sz w:val="20"/>
        </w:rPr>
        <w:t xml:space="preserve"> - na podstawie charakterystyk tworzących indeks podobieństwa </w:t>
      </w:r>
      <w:r>
        <w:rPr>
          <w:sz w:val="20"/>
        </w:rPr>
        <w:t xml:space="preserve">- </w:t>
      </w:r>
      <w:r w:rsidRPr="000E55C7">
        <w:rPr>
          <w:sz w:val="20"/>
        </w:rPr>
        <w:t xml:space="preserve">ang. </w:t>
      </w:r>
      <w:proofErr w:type="spellStart"/>
      <w:r w:rsidRPr="000E55C7">
        <w:rPr>
          <w:sz w:val="20"/>
        </w:rPr>
        <w:t>propensity</w:t>
      </w:r>
      <w:proofErr w:type="spellEnd"/>
      <w:r w:rsidRPr="000E55C7">
        <w:rPr>
          <w:sz w:val="20"/>
        </w:rPr>
        <w:t xml:space="preserve"> </w:t>
      </w:r>
      <w:proofErr w:type="spellStart"/>
      <w:r w:rsidRPr="000E55C7">
        <w:rPr>
          <w:sz w:val="20"/>
        </w:rPr>
        <w:t>score</w:t>
      </w:r>
      <w:proofErr w:type="spellEnd"/>
      <w:r w:rsidRPr="000E55C7">
        <w:rPr>
          <w:sz w:val="20"/>
        </w:rPr>
        <w:t xml:space="preserve"> </w:t>
      </w:r>
      <w:r>
        <w:rPr>
          <w:sz w:val="20"/>
        </w:rPr>
        <w:t xml:space="preserve">- </w:t>
      </w:r>
      <w:r w:rsidRPr="000E55C7">
        <w:rPr>
          <w:sz w:val="20"/>
        </w:rPr>
        <w:t xml:space="preserve">beneficjentów i jednostek kontrolnych) może nie dać satysfakcjonujących rezultatów, które pozwoliłyby na uprawnione wnioskowanie o efekcie przyczynowym pomocy i uzyskaniu pełnych odpowiedzi na pytania badawcze interesujące Zamawiającego. Niemniej, podjęcie się z należytą starannością przez Wykonawcę realizacji zaplanowanych analiz kontrfaktycznych (minimum przeprowadzenie kilkukrotnych testów </w:t>
      </w:r>
      <w:r>
        <w:rPr>
          <w:sz w:val="20"/>
        </w:rPr>
        <w:t xml:space="preserve">próbnych </w:t>
      </w:r>
      <w:r w:rsidRPr="000E55C7">
        <w:rPr>
          <w:sz w:val="20"/>
        </w:rPr>
        <w:t>na dostarczonych przez Zamawiającego danych</w:t>
      </w:r>
      <w:r>
        <w:rPr>
          <w:sz w:val="20"/>
        </w:rPr>
        <w:t xml:space="preserve"> i wykonanie minimum analiz kontrfaktycznych w ujęciu ogólniejszym niż wynikałoby z sformułowanych przez Zamawiającego pytań</w:t>
      </w:r>
      <w:r w:rsidRPr="000E55C7">
        <w:rPr>
          <w:sz w:val="20"/>
        </w:rPr>
        <w:t xml:space="preserve">), zostanie uznane przez Zamawiającego za należyte wykonanie, niezależnie od rezultatów analitycznych. Tym samym Zamawiający uwzględnia ryzyko, które jest immanentną cechą tego typu innowacyjnych podejść analityczno-eksperckich (badawczo-rozwojowych), ale jednocześnie może dostarczyć wartościowej wiedzy dla systemu zarządzania wsparciem na rzecz rozwoju </w:t>
      </w:r>
      <w:r w:rsidR="001F1314">
        <w:rPr>
          <w:sz w:val="20"/>
        </w:rPr>
        <w:t xml:space="preserve">przedsiębiorczości </w:t>
      </w:r>
      <w:r w:rsidRPr="000E55C7">
        <w:rPr>
          <w:sz w:val="20"/>
        </w:rPr>
        <w:t xml:space="preserve">makroregionu Polski Wschodniej. </w:t>
      </w:r>
    </w:p>
  </w:footnote>
  <w:footnote w:id="5">
    <w:p w:rsidR="00CD4A26" w:rsidRDefault="00CD4A26" w:rsidP="00CD4A26">
      <w:pPr>
        <w:pStyle w:val="Tekstprzypisudolnego"/>
      </w:pPr>
      <w:r>
        <w:rPr>
          <w:rStyle w:val="Odwoanieprzypisudolnego"/>
        </w:rPr>
        <w:footnoteRef/>
      </w:r>
      <w:r>
        <w:t xml:space="preserve"> W przypadku średnich spółek, które w sprawozdaniach przedkładają dodatkowo Rachunek Przepływów Pieniężnych, stosunkowo ogólne dane o inwestycjach w poszczególnych latach sprawozdawczych można znaleźć w dziale „Przepływy środków pieniężnych z działalności inwestycyjnej” np. wartość wydatków dot. „Nabycia wartości niematerialnych i prawnych oraz rzeczowych aktywów trwałych” oraz „Inwestycji w nieruchomości oraz wartości niematerialne i prawne”. Spółki małe i mikro-, które stanowią dominującą klasę wielkości przedsiębiorstwa wśród wnioskodawców POPW, nie przedkładają KRS tego elementu sprawozdania.</w:t>
      </w:r>
    </w:p>
  </w:footnote>
  <w:footnote w:id="6">
    <w:p w:rsidR="00CD4A26" w:rsidRDefault="00CD4A26" w:rsidP="00CD4A26">
      <w:pPr>
        <w:pStyle w:val="Tekstprzypisudolnego"/>
      </w:pPr>
      <w:r>
        <w:rPr>
          <w:rStyle w:val="Odwoanieprzypisudolnego"/>
        </w:rPr>
        <w:footnoteRef/>
      </w:r>
      <w:r>
        <w:t xml:space="preserve"> Por. https://stat.gov.pl/download/gfx/portalinformacyjny/pl/defaultstronaopisowa/6156/1/1/raport_wkazniki_ekonomiczne_parp.pdf s. 31-32.</w:t>
      </w:r>
    </w:p>
  </w:footnote>
  <w:footnote w:id="7">
    <w:p w:rsidR="002A6E4C" w:rsidRDefault="002A6E4C" w:rsidP="00042F7F">
      <w:pPr>
        <w:spacing w:before="0" w:after="0" w:line="240" w:lineRule="auto"/>
      </w:pPr>
      <w:r>
        <w:rPr>
          <w:rStyle w:val="Odwoanieprzypisudolnego"/>
        </w:rPr>
        <w:footnoteRef/>
      </w:r>
      <w:r>
        <w:t xml:space="preserve"> </w:t>
      </w:r>
      <w:r w:rsidRPr="002A6E4C">
        <w:rPr>
          <w:rFonts w:eastAsiaTheme="minorHAnsi"/>
          <w:sz w:val="20"/>
        </w:rPr>
        <w:t>Dane zostaną uzupełnione w późniejszym terminie, trwa proces pobierania danych i prace analityczne; na potrzeby oszacowania wartości zamówienia, tabela na charakter poglądowy.</w:t>
      </w:r>
      <w:r w:rsidRPr="002A6E4C">
        <w:t xml:space="preserve"> </w:t>
      </w:r>
    </w:p>
  </w:footnote>
  <w:footnote w:id="8">
    <w:p w:rsidR="00CD4A26" w:rsidRDefault="00CD4A26" w:rsidP="00CD4A26">
      <w:pPr>
        <w:pStyle w:val="Tekstkomentarza"/>
      </w:pPr>
      <w:r>
        <w:rPr>
          <w:rStyle w:val="Odwoanieprzypisudolnego"/>
        </w:rPr>
        <w:footnoteRef/>
      </w:r>
      <w:r>
        <w:t xml:space="preserve"> Należy przyjąć, że docelowy plik z danymi, będzie zawierał kilkaset tysięcy rekordów, co uniemożliwi jego poprawne otwieranie i przetwarzanie w standardowym narzędziu kalkulacyjnym typu Excel lub równoważne (ryzyko wystąpienia błędów w kodowaniu i wyświetlaniu wartości zmiennych). W związku z tym przetwarzanie danych powinno być prowadzone przez Wykonawcę w odpowiednim narzędziu, dedykowanym do analizy tego typu zbiorów danych.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22181"/>
      <w:docPartObj>
        <w:docPartGallery w:val="Page Numbers (Top of Page)"/>
        <w:docPartUnique/>
      </w:docPartObj>
    </w:sdtPr>
    <w:sdtEndPr/>
    <w:sdtContent>
      <w:p w:rsidR="00774E22" w:rsidRDefault="00774E22" w:rsidP="00774E22">
        <w:pPr>
          <w:pStyle w:val="Nagwek"/>
        </w:pPr>
        <w:r>
          <w:fldChar w:fldCharType="begin"/>
        </w:r>
        <w:r>
          <w:instrText>PAGE   \* MERGEFORMAT</w:instrText>
        </w:r>
        <w:r>
          <w:fldChar w:fldCharType="separate"/>
        </w:r>
        <w:r w:rsidR="00090FA3">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73A"/>
    <w:multiLevelType w:val="hybridMultilevel"/>
    <w:tmpl w:val="775C65F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A83431"/>
    <w:multiLevelType w:val="multilevel"/>
    <w:tmpl w:val="03F2A07C"/>
    <w:lvl w:ilvl="0">
      <w:start w:val="1"/>
      <w:numFmt w:val="decimal"/>
      <w:pStyle w:val="Nagwek1"/>
      <w:lvlText w:val="%1."/>
      <w:lvlJc w:val="left"/>
      <w:pPr>
        <w:ind w:left="5606" w:hanging="360"/>
      </w:pPr>
      <w:rPr>
        <w:rFonts w:hint="default"/>
      </w:rPr>
    </w:lvl>
    <w:lvl w:ilvl="1">
      <w:start w:val="1"/>
      <w:numFmt w:val="decimal"/>
      <w:pStyle w:val="Nagwek2"/>
      <w:isLgl/>
      <w:lvlText w:val="%1.%2."/>
      <w:lvlJc w:val="left"/>
      <w:pPr>
        <w:ind w:left="720" w:hanging="360"/>
      </w:pPr>
      <w:rPr>
        <w:rFonts w:hint="default"/>
      </w:rPr>
    </w:lvl>
    <w:lvl w:ilvl="2">
      <w:start w:val="1"/>
      <w:numFmt w:val="decimal"/>
      <w:pStyle w:val="Nagwek3"/>
      <w:isLgl/>
      <w:lvlText w:val="%1.%2.%3."/>
      <w:lvlJc w:val="left"/>
      <w:pPr>
        <w:ind w:left="9651" w:hanging="72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AF3F2E"/>
    <w:multiLevelType w:val="multilevel"/>
    <w:tmpl w:val="3224FAE8"/>
    <w:styleLink w:val="WWNum1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B097F52"/>
    <w:multiLevelType w:val="hybridMultilevel"/>
    <w:tmpl w:val="A2CCE8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BE3B52"/>
    <w:multiLevelType w:val="hybridMultilevel"/>
    <w:tmpl w:val="EA042352"/>
    <w:lvl w:ilvl="0" w:tplc="F7B6844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86642"/>
    <w:multiLevelType w:val="hybridMultilevel"/>
    <w:tmpl w:val="9CFE26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B93458"/>
    <w:multiLevelType w:val="hybridMultilevel"/>
    <w:tmpl w:val="9DEE6590"/>
    <w:lvl w:ilvl="0" w:tplc="04150017">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10193780"/>
    <w:multiLevelType w:val="hybridMultilevel"/>
    <w:tmpl w:val="E52C5A0A"/>
    <w:lvl w:ilvl="0" w:tplc="F7B6844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80604D"/>
    <w:multiLevelType w:val="hybridMultilevel"/>
    <w:tmpl w:val="7056FC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41490B"/>
    <w:multiLevelType w:val="hybridMultilevel"/>
    <w:tmpl w:val="FDD43E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ED08E7"/>
    <w:multiLevelType w:val="multilevel"/>
    <w:tmpl w:val="8E7CD88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D2781B"/>
    <w:multiLevelType w:val="hybridMultilevel"/>
    <w:tmpl w:val="E2AA54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D32FDE"/>
    <w:multiLevelType w:val="hybridMultilevel"/>
    <w:tmpl w:val="4A54DF9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03F3CD5"/>
    <w:multiLevelType w:val="hybridMultilevel"/>
    <w:tmpl w:val="DD50C236"/>
    <w:lvl w:ilvl="0" w:tplc="018A744E">
      <w:start w:val="1"/>
      <w:numFmt w:val="bullet"/>
      <w:lvlText w:val=""/>
      <w:lvlJc w:val="left"/>
      <w:pPr>
        <w:ind w:left="720" w:hanging="360"/>
      </w:pPr>
      <w:rPr>
        <w:rFonts w:ascii="Wingdings" w:hAnsi="Wingdings" w:hint="default"/>
        <w:color w:val="D2796D" w:themeColor="accent2"/>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407C65"/>
    <w:multiLevelType w:val="hybridMultilevel"/>
    <w:tmpl w:val="75EEAF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6C416B"/>
    <w:multiLevelType w:val="hybridMultilevel"/>
    <w:tmpl w:val="CB04034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FF5E7F"/>
    <w:multiLevelType w:val="hybridMultilevel"/>
    <w:tmpl w:val="8BCA51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BE739B"/>
    <w:multiLevelType w:val="hybridMultilevel"/>
    <w:tmpl w:val="97CA9E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0F59A5"/>
    <w:multiLevelType w:val="hybridMultilevel"/>
    <w:tmpl w:val="9A005CB8"/>
    <w:lvl w:ilvl="0" w:tplc="B74EAD60">
      <w:start w:val="1"/>
      <w:numFmt w:val="bullet"/>
      <w:lvlText w:val=""/>
      <w:lvlJc w:val="left"/>
      <w:pPr>
        <w:ind w:left="720" w:hanging="360"/>
      </w:pPr>
      <w:rPr>
        <w:rFonts w:ascii="Wingdings" w:hAnsi="Wingdings" w:hint="default"/>
        <w:color w:val="626769" w:themeColor="accent3"/>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406A00"/>
    <w:multiLevelType w:val="hybridMultilevel"/>
    <w:tmpl w:val="811C6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3A878E1"/>
    <w:multiLevelType w:val="hybridMultilevel"/>
    <w:tmpl w:val="22A47866"/>
    <w:lvl w:ilvl="0" w:tplc="0415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C96579"/>
    <w:multiLevelType w:val="hybridMultilevel"/>
    <w:tmpl w:val="5FB896B8"/>
    <w:lvl w:ilvl="0" w:tplc="0415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D5580D"/>
    <w:multiLevelType w:val="hybridMultilevel"/>
    <w:tmpl w:val="7D00E5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C20F1B"/>
    <w:multiLevelType w:val="hybridMultilevel"/>
    <w:tmpl w:val="5BA66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B8018B"/>
    <w:multiLevelType w:val="hybridMultilevel"/>
    <w:tmpl w:val="B6E2B0D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453EFF"/>
    <w:multiLevelType w:val="multilevel"/>
    <w:tmpl w:val="84845D76"/>
    <w:lvl w:ilvl="0">
      <w:start w:val="1"/>
      <w:numFmt w:val="decimal"/>
      <w:pStyle w:val="Termslevel1"/>
      <w:suff w:val="space"/>
      <w:lvlText w:val="%1."/>
      <w:lvlJc w:val="left"/>
      <w:pPr>
        <w:ind w:left="170" w:hanging="170"/>
      </w:pPr>
      <w:rPr>
        <w:rFonts w:ascii="Arial Bold" w:hAnsi="Arial Bold" w:hint="default"/>
        <w:b/>
        <w:i w:val="0"/>
        <w:color w:val="auto"/>
        <w:sz w:val="17"/>
      </w:rPr>
    </w:lvl>
    <w:lvl w:ilvl="1">
      <w:start w:val="1"/>
      <w:numFmt w:val="decimal"/>
      <w:pStyle w:val="Termslevel2"/>
      <w:lvlText w:val="%1.%2"/>
      <w:lvlJc w:val="left"/>
      <w:pPr>
        <w:tabs>
          <w:tab w:val="num" w:pos="340"/>
        </w:tabs>
        <w:ind w:left="340" w:hanging="340"/>
      </w:pPr>
      <w:rPr>
        <w:rFonts w:ascii="Arial" w:hAnsi="Arial" w:hint="default"/>
        <w:b w:val="0"/>
        <w:i w:val="0"/>
        <w:color w:val="auto"/>
        <w:sz w:val="14"/>
      </w:rPr>
    </w:lvl>
    <w:lvl w:ilvl="2">
      <w:start w:val="1"/>
      <w:numFmt w:val="decimal"/>
      <w:pStyle w:val="Termslevel3"/>
      <w:lvlText w:val="%1.%2.%3"/>
      <w:lvlJc w:val="left"/>
      <w:pPr>
        <w:tabs>
          <w:tab w:val="num" w:pos="737"/>
        </w:tabs>
        <w:ind w:left="737" w:hanging="39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3B3660F"/>
    <w:multiLevelType w:val="hybridMultilevel"/>
    <w:tmpl w:val="20CEEDA2"/>
    <w:lvl w:ilvl="0" w:tplc="0415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6A4FDD"/>
    <w:multiLevelType w:val="hybridMultilevel"/>
    <w:tmpl w:val="3AA08FE8"/>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CA009F"/>
    <w:multiLevelType w:val="hybridMultilevel"/>
    <w:tmpl w:val="BE8E0196"/>
    <w:lvl w:ilvl="0" w:tplc="F62EC87A">
      <w:start w:val="1"/>
      <w:numFmt w:val="decimal"/>
      <w:lvlText w:val="%1)"/>
      <w:lvlJc w:val="left"/>
      <w:pPr>
        <w:tabs>
          <w:tab w:val="num" w:pos="720"/>
        </w:tabs>
        <w:ind w:left="720" w:hanging="360"/>
      </w:pPr>
    </w:lvl>
    <w:lvl w:ilvl="1" w:tplc="6862DB24">
      <w:start w:val="1"/>
      <w:numFmt w:val="lowerLetter"/>
      <w:lvlText w:val="%2."/>
      <w:lvlJc w:val="left"/>
      <w:pPr>
        <w:tabs>
          <w:tab w:val="num" w:pos="1440"/>
        </w:tabs>
        <w:ind w:left="1440" w:hanging="360"/>
      </w:pPr>
    </w:lvl>
    <w:lvl w:ilvl="2" w:tplc="B15CC40C" w:tentative="1">
      <w:start w:val="1"/>
      <w:numFmt w:val="decimal"/>
      <w:lvlText w:val="%3)"/>
      <w:lvlJc w:val="left"/>
      <w:pPr>
        <w:tabs>
          <w:tab w:val="num" w:pos="2160"/>
        </w:tabs>
        <w:ind w:left="2160" w:hanging="360"/>
      </w:pPr>
    </w:lvl>
    <w:lvl w:ilvl="3" w:tplc="ABA2E6B8" w:tentative="1">
      <w:start w:val="1"/>
      <w:numFmt w:val="decimal"/>
      <w:lvlText w:val="%4)"/>
      <w:lvlJc w:val="left"/>
      <w:pPr>
        <w:tabs>
          <w:tab w:val="num" w:pos="2880"/>
        </w:tabs>
        <w:ind w:left="2880" w:hanging="360"/>
      </w:pPr>
    </w:lvl>
    <w:lvl w:ilvl="4" w:tplc="A9A8FFE6" w:tentative="1">
      <w:start w:val="1"/>
      <w:numFmt w:val="decimal"/>
      <w:lvlText w:val="%5)"/>
      <w:lvlJc w:val="left"/>
      <w:pPr>
        <w:tabs>
          <w:tab w:val="num" w:pos="3600"/>
        </w:tabs>
        <w:ind w:left="3600" w:hanging="360"/>
      </w:pPr>
    </w:lvl>
    <w:lvl w:ilvl="5" w:tplc="CD00082C" w:tentative="1">
      <w:start w:val="1"/>
      <w:numFmt w:val="decimal"/>
      <w:lvlText w:val="%6)"/>
      <w:lvlJc w:val="left"/>
      <w:pPr>
        <w:tabs>
          <w:tab w:val="num" w:pos="4320"/>
        </w:tabs>
        <w:ind w:left="4320" w:hanging="360"/>
      </w:pPr>
    </w:lvl>
    <w:lvl w:ilvl="6" w:tplc="F2F07124" w:tentative="1">
      <w:start w:val="1"/>
      <w:numFmt w:val="decimal"/>
      <w:lvlText w:val="%7)"/>
      <w:lvlJc w:val="left"/>
      <w:pPr>
        <w:tabs>
          <w:tab w:val="num" w:pos="5040"/>
        </w:tabs>
        <w:ind w:left="5040" w:hanging="360"/>
      </w:pPr>
    </w:lvl>
    <w:lvl w:ilvl="7" w:tplc="169471CA" w:tentative="1">
      <w:start w:val="1"/>
      <w:numFmt w:val="decimal"/>
      <w:lvlText w:val="%8)"/>
      <w:lvlJc w:val="left"/>
      <w:pPr>
        <w:tabs>
          <w:tab w:val="num" w:pos="5760"/>
        </w:tabs>
        <w:ind w:left="5760" w:hanging="360"/>
      </w:pPr>
    </w:lvl>
    <w:lvl w:ilvl="8" w:tplc="AC246C1E" w:tentative="1">
      <w:start w:val="1"/>
      <w:numFmt w:val="decimal"/>
      <w:lvlText w:val="%9)"/>
      <w:lvlJc w:val="left"/>
      <w:pPr>
        <w:tabs>
          <w:tab w:val="num" w:pos="6480"/>
        </w:tabs>
        <w:ind w:left="6480" w:hanging="360"/>
      </w:pPr>
    </w:lvl>
  </w:abstractNum>
  <w:abstractNum w:abstractNumId="29" w15:restartNumberingAfterBreak="0">
    <w:nsid w:val="4747336B"/>
    <w:multiLevelType w:val="hybridMultilevel"/>
    <w:tmpl w:val="8E7A5CF8"/>
    <w:lvl w:ilvl="0" w:tplc="04150011">
      <w:start w:val="1"/>
      <w:numFmt w:val="decimal"/>
      <w:lvlText w:val="%1)"/>
      <w:lvlJc w:val="left"/>
      <w:pPr>
        <w:ind w:left="720" w:hanging="360"/>
      </w:pPr>
      <w:rPr>
        <w:rFonts w:hint="default"/>
      </w:rPr>
    </w:lvl>
    <w:lvl w:ilvl="1" w:tplc="B2EEEAB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735591"/>
    <w:multiLevelType w:val="multilevel"/>
    <w:tmpl w:val="F7B0B2F8"/>
    <w:lvl w:ilvl="0">
      <w:start w:val="1"/>
      <w:numFmt w:val="decimal"/>
      <w:lvlText w:val="%1."/>
      <w:lvlJc w:val="left"/>
      <w:pPr>
        <w:ind w:left="720" w:hanging="360"/>
      </w:pPr>
    </w:lvl>
    <w:lvl w:ilvl="1">
      <w:start w:val="3"/>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8D36A8E"/>
    <w:multiLevelType w:val="hybridMultilevel"/>
    <w:tmpl w:val="2AF687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A9D760A"/>
    <w:multiLevelType w:val="multilevel"/>
    <w:tmpl w:val="F7B0B2F8"/>
    <w:lvl w:ilvl="0">
      <w:start w:val="1"/>
      <w:numFmt w:val="decimal"/>
      <w:lvlText w:val="%1."/>
      <w:lvlJc w:val="left"/>
      <w:pPr>
        <w:ind w:left="720" w:hanging="360"/>
      </w:pPr>
    </w:lvl>
    <w:lvl w:ilvl="1">
      <w:start w:val="3"/>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B8C5A8D"/>
    <w:multiLevelType w:val="multilevel"/>
    <w:tmpl w:val="F7B0B2F8"/>
    <w:lvl w:ilvl="0">
      <w:start w:val="1"/>
      <w:numFmt w:val="decimal"/>
      <w:lvlText w:val="%1."/>
      <w:lvlJc w:val="left"/>
      <w:pPr>
        <w:ind w:left="720" w:hanging="360"/>
      </w:pPr>
    </w:lvl>
    <w:lvl w:ilvl="1">
      <w:start w:val="3"/>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C3E0C9B"/>
    <w:multiLevelType w:val="hybridMultilevel"/>
    <w:tmpl w:val="7B669C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226F20"/>
    <w:multiLevelType w:val="hybridMultilevel"/>
    <w:tmpl w:val="D33656CA"/>
    <w:lvl w:ilvl="0" w:tplc="7D76BB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054E6B"/>
    <w:multiLevelType w:val="hybridMultilevel"/>
    <w:tmpl w:val="5612694A"/>
    <w:lvl w:ilvl="0" w:tplc="D9CCEEA2">
      <w:start w:val="1"/>
      <w:numFmt w:val="bullet"/>
      <w:pStyle w:val="Akapitzlist"/>
      <w:lvlText w:val=""/>
      <w:lvlJc w:val="left"/>
      <w:pPr>
        <w:ind w:left="720" w:hanging="360"/>
      </w:pPr>
      <w:rPr>
        <w:rFonts w:ascii="Wingdings" w:hAnsi="Wingdings" w:hint="default"/>
      </w:rPr>
    </w:lvl>
    <w:lvl w:ilvl="1" w:tplc="7170515A">
      <w:start w:val="1"/>
      <w:numFmt w:val="lowerLetter"/>
      <w:lvlText w:val="%2."/>
      <w:lvlJc w:val="left"/>
      <w:pPr>
        <w:ind w:left="1440" w:hanging="360"/>
      </w:pPr>
      <w:rPr>
        <w:b w:val="0"/>
      </w:rPr>
    </w:lvl>
    <w:lvl w:ilvl="2" w:tplc="78605E08">
      <w:start w:val="1"/>
      <w:numFmt w:val="lowerRoman"/>
      <w:lvlText w:val="%3."/>
      <w:lvlJc w:val="right"/>
      <w:pPr>
        <w:ind w:left="2160" w:hanging="18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8E60659"/>
    <w:multiLevelType w:val="hybridMultilevel"/>
    <w:tmpl w:val="52C4B31A"/>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D97A2F"/>
    <w:multiLevelType w:val="multilevel"/>
    <w:tmpl w:val="4F9ED0E8"/>
    <w:styleLink w:val="WWNum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9" w15:restartNumberingAfterBreak="0">
    <w:nsid w:val="6CA24E46"/>
    <w:multiLevelType w:val="hybridMultilevel"/>
    <w:tmpl w:val="45C63696"/>
    <w:lvl w:ilvl="0" w:tplc="5C30F898">
      <w:start w:val="1"/>
      <w:numFmt w:val="bullet"/>
      <w:lvlText w:val=""/>
      <w:lvlJc w:val="left"/>
      <w:pPr>
        <w:ind w:left="720" w:hanging="360"/>
      </w:pPr>
      <w:rPr>
        <w:rFonts w:ascii="Wingdings" w:hAnsi="Wingdings" w:hint="default"/>
        <w:color w:val="B61928" w:themeColor="accent1"/>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F11F3B"/>
    <w:multiLevelType w:val="hybridMultilevel"/>
    <w:tmpl w:val="F9F6F5E4"/>
    <w:lvl w:ilvl="0" w:tplc="7D76BBD8">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453F91"/>
    <w:multiLevelType w:val="hybridMultilevel"/>
    <w:tmpl w:val="885C95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A60326"/>
    <w:multiLevelType w:val="singleLevel"/>
    <w:tmpl w:val="6EB8F1BA"/>
    <w:lvl w:ilvl="0">
      <w:start w:val="100"/>
      <w:numFmt w:val="bullet"/>
      <w:pStyle w:val="Odpowied"/>
      <w:lvlText w:val="-"/>
      <w:lvlJc w:val="left"/>
      <w:pPr>
        <w:tabs>
          <w:tab w:val="num" w:pos="360"/>
        </w:tabs>
        <w:ind w:left="360" w:hanging="360"/>
      </w:pPr>
    </w:lvl>
  </w:abstractNum>
  <w:abstractNum w:abstractNumId="43" w15:restartNumberingAfterBreak="0">
    <w:nsid w:val="77C51EEB"/>
    <w:multiLevelType w:val="hybridMultilevel"/>
    <w:tmpl w:val="B5FC24DC"/>
    <w:lvl w:ilvl="0" w:tplc="7D76BB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914E07"/>
    <w:multiLevelType w:val="hybridMultilevel"/>
    <w:tmpl w:val="4614C2F8"/>
    <w:lvl w:ilvl="0" w:tplc="7D76BB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5E07E3"/>
    <w:multiLevelType w:val="hybridMultilevel"/>
    <w:tmpl w:val="EFB20E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8"/>
  </w:num>
  <w:num w:numId="3">
    <w:abstractNumId w:val="2"/>
  </w:num>
  <w:num w:numId="4">
    <w:abstractNumId w:val="36"/>
  </w:num>
  <w:num w:numId="5">
    <w:abstractNumId w:val="25"/>
  </w:num>
  <w:num w:numId="6">
    <w:abstractNumId w:val="22"/>
  </w:num>
  <w:num w:numId="7">
    <w:abstractNumId w:val="28"/>
  </w:num>
  <w:num w:numId="8">
    <w:abstractNumId w:val="39"/>
  </w:num>
  <w:num w:numId="9">
    <w:abstractNumId w:val="13"/>
  </w:num>
  <w:num w:numId="10">
    <w:abstractNumId w:val="18"/>
  </w:num>
  <w:num w:numId="11">
    <w:abstractNumId w:val="14"/>
  </w:num>
  <w:num w:numId="12">
    <w:abstractNumId w:val="8"/>
  </w:num>
  <w:num w:numId="13">
    <w:abstractNumId w:val="29"/>
  </w:num>
  <w:num w:numId="14">
    <w:abstractNumId w:val="10"/>
  </w:num>
  <w:num w:numId="15">
    <w:abstractNumId w:val="11"/>
  </w:num>
  <w:num w:numId="16">
    <w:abstractNumId w:val="23"/>
  </w:num>
  <w:num w:numId="17">
    <w:abstractNumId w:val="45"/>
  </w:num>
  <w:num w:numId="18">
    <w:abstractNumId w:val="42"/>
  </w:num>
  <w:num w:numId="19">
    <w:abstractNumId w:val="37"/>
  </w:num>
  <w:num w:numId="20">
    <w:abstractNumId w:val="19"/>
  </w:num>
  <w:num w:numId="21">
    <w:abstractNumId w:val="30"/>
  </w:num>
  <w:num w:numId="22">
    <w:abstractNumId w:val="33"/>
  </w:num>
  <w:num w:numId="23">
    <w:abstractNumId w:val="32"/>
  </w:num>
  <w:num w:numId="24">
    <w:abstractNumId w:val="17"/>
  </w:num>
  <w:num w:numId="25">
    <w:abstractNumId w:val="0"/>
  </w:num>
  <w:num w:numId="26">
    <w:abstractNumId w:val="9"/>
  </w:num>
  <w:num w:numId="27">
    <w:abstractNumId w:val="5"/>
  </w:num>
  <w:num w:numId="28">
    <w:abstractNumId w:val="24"/>
  </w:num>
  <w:num w:numId="29">
    <w:abstractNumId w:val="26"/>
  </w:num>
  <w:num w:numId="30">
    <w:abstractNumId w:val="21"/>
  </w:num>
  <w:num w:numId="31">
    <w:abstractNumId w:val="31"/>
  </w:num>
  <w:num w:numId="32">
    <w:abstractNumId w:val="15"/>
  </w:num>
  <w:num w:numId="33">
    <w:abstractNumId w:val="3"/>
  </w:num>
  <w:num w:numId="34">
    <w:abstractNumId w:val="12"/>
  </w:num>
  <w:num w:numId="35">
    <w:abstractNumId w:val="34"/>
  </w:num>
  <w:num w:numId="36">
    <w:abstractNumId w:val="40"/>
  </w:num>
  <w:num w:numId="37">
    <w:abstractNumId w:val="16"/>
  </w:num>
  <w:num w:numId="38">
    <w:abstractNumId w:val="41"/>
  </w:num>
  <w:num w:numId="39">
    <w:abstractNumId w:val="7"/>
  </w:num>
  <w:num w:numId="40">
    <w:abstractNumId w:val="20"/>
  </w:num>
  <w:num w:numId="41">
    <w:abstractNumId w:val="27"/>
  </w:num>
  <w:num w:numId="42">
    <w:abstractNumId w:val="44"/>
  </w:num>
  <w:num w:numId="43">
    <w:abstractNumId w:val="6"/>
  </w:num>
  <w:num w:numId="44">
    <w:abstractNumId w:val="35"/>
  </w:num>
  <w:num w:numId="45">
    <w:abstractNumId w:val="4"/>
  </w:num>
  <w:num w:numId="46">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defaultTabStop w:val="708"/>
  <w:hyphenationZone w:val="425"/>
  <w:characterSpacingControl w:val="doNotCompress"/>
  <w:hdrShapeDefaults>
    <o:shapedefaults v:ext="edit" spidmax="2049">
      <o:colormru v:ext="edit" colors="#b61928"/>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30F"/>
    <w:rsid w:val="0000003B"/>
    <w:rsid w:val="0000035B"/>
    <w:rsid w:val="0000062F"/>
    <w:rsid w:val="00001C51"/>
    <w:rsid w:val="00001D45"/>
    <w:rsid w:val="0000287C"/>
    <w:rsid w:val="00002A7C"/>
    <w:rsid w:val="0000332A"/>
    <w:rsid w:val="0000350A"/>
    <w:rsid w:val="000035BF"/>
    <w:rsid w:val="000036DE"/>
    <w:rsid w:val="00003897"/>
    <w:rsid w:val="00003C7C"/>
    <w:rsid w:val="000040B7"/>
    <w:rsid w:val="000045B6"/>
    <w:rsid w:val="00006A71"/>
    <w:rsid w:val="00011DF0"/>
    <w:rsid w:val="00013678"/>
    <w:rsid w:val="00013C1D"/>
    <w:rsid w:val="0001496E"/>
    <w:rsid w:val="00015AA8"/>
    <w:rsid w:val="0002087F"/>
    <w:rsid w:val="00020D36"/>
    <w:rsid w:val="00020D6A"/>
    <w:rsid w:val="00023223"/>
    <w:rsid w:val="00024AC7"/>
    <w:rsid w:val="0002769E"/>
    <w:rsid w:val="00027834"/>
    <w:rsid w:val="000278FA"/>
    <w:rsid w:val="00030375"/>
    <w:rsid w:val="00030CF4"/>
    <w:rsid w:val="00031D13"/>
    <w:rsid w:val="00034D56"/>
    <w:rsid w:val="00035257"/>
    <w:rsid w:val="00036011"/>
    <w:rsid w:val="000373CC"/>
    <w:rsid w:val="000373F7"/>
    <w:rsid w:val="0003792E"/>
    <w:rsid w:val="00040441"/>
    <w:rsid w:val="00042F7F"/>
    <w:rsid w:val="000435CA"/>
    <w:rsid w:val="00043861"/>
    <w:rsid w:val="000439B5"/>
    <w:rsid w:val="00043B68"/>
    <w:rsid w:val="00043BA3"/>
    <w:rsid w:val="00043FC9"/>
    <w:rsid w:val="00044065"/>
    <w:rsid w:val="00044371"/>
    <w:rsid w:val="00044853"/>
    <w:rsid w:val="000449F8"/>
    <w:rsid w:val="00044ED1"/>
    <w:rsid w:val="00044FC6"/>
    <w:rsid w:val="00045356"/>
    <w:rsid w:val="0004576E"/>
    <w:rsid w:val="00046FC7"/>
    <w:rsid w:val="00047447"/>
    <w:rsid w:val="00052057"/>
    <w:rsid w:val="000523BA"/>
    <w:rsid w:val="00055078"/>
    <w:rsid w:val="00055C6E"/>
    <w:rsid w:val="00056761"/>
    <w:rsid w:val="00060941"/>
    <w:rsid w:val="00060FB4"/>
    <w:rsid w:val="00062AFC"/>
    <w:rsid w:val="000642A1"/>
    <w:rsid w:val="00064B95"/>
    <w:rsid w:val="00065093"/>
    <w:rsid w:val="00065FD7"/>
    <w:rsid w:val="00065FD8"/>
    <w:rsid w:val="00066A88"/>
    <w:rsid w:val="000675CB"/>
    <w:rsid w:val="00070C91"/>
    <w:rsid w:val="00071AAC"/>
    <w:rsid w:val="00072199"/>
    <w:rsid w:val="00073AD0"/>
    <w:rsid w:val="00073D8E"/>
    <w:rsid w:val="00073F90"/>
    <w:rsid w:val="000749C6"/>
    <w:rsid w:val="00076D65"/>
    <w:rsid w:val="00080890"/>
    <w:rsid w:val="00080A54"/>
    <w:rsid w:val="00081580"/>
    <w:rsid w:val="000828D7"/>
    <w:rsid w:val="00083DC4"/>
    <w:rsid w:val="00085182"/>
    <w:rsid w:val="00087C69"/>
    <w:rsid w:val="00090FA3"/>
    <w:rsid w:val="00090FB8"/>
    <w:rsid w:val="000921F0"/>
    <w:rsid w:val="000967ED"/>
    <w:rsid w:val="00096FB6"/>
    <w:rsid w:val="00097506"/>
    <w:rsid w:val="00097CB9"/>
    <w:rsid w:val="00097EC7"/>
    <w:rsid w:val="000A0A50"/>
    <w:rsid w:val="000A2581"/>
    <w:rsid w:val="000A2DDD"/>
    <w:rsid w:val="000A3431"/>
    <w:rsid w:val="000A368A"/>
    <w:rsid w:val="000A3938"/>
    <w:rsid w:val="000A41CA"/>
    <w:rsid w:val="000A43FE"/>
    <w:rsid w:val="000A49DA"/>
    <w:rsid w:val="000A4CA0"/>
    <w:rsid w:val="000A53DF"/>
    <w:rsid w:val="000A720B"/>
    <w:rsid w:val="000A7822"/>
    <w:rsid w:val="000A7B58"/>
    <w:rsid w:val="000B0709"/>
    <w:rsid w:val="000B0DA6"/>
    <w:rsid w:val="000B22F2"/>
    <w:rsid w:val="000B3019"/>
    <w:rsid w:val="000B32A7"/>
    <w:rsid w:val="000B5067"/>
    <w:rsid w:val="000B5269"/>
    <w:rsid w:val="000B66C8"/>
    <w:rsid w:val="000B6DA2"/>
    <w:rsid w:val="000C015A"/>
    <w:rsid w:val="000C13FA"/>
    <w:rsid w:val="000C2353"/>
    <w:rsid w:val="000C2E7C"/>
    <w:rsid w:val="000C2EB2"/>
    <w:rsid w:val="000C38A6"/>
    <w:rsid w:val="000C3C98"/>
    <w:rsid w:val="000C55AE"/>
    <w:rsid w:val="000C6429"/>
    <w:rsid w:val="000C6C4C"/>
    <w:rsid w:val="000C6F93"/>
    <w:rsid w:val="000C7C68"/>
    <w:rsid w:val="000C7D33"/>
    <w:rsid w:val="000C7D55"/>
    <w:rsid w:val="000D0D68"/>
    <w:rsid w:val="000D0D76"/>
    <w:rsid w:val="000D0F2B"/>
    <w:rsid w:val="000D1781"/>
    <w:rsid w:val="000D1DDF"/>
    <w:rsid w:val="000D3616"/>
    <w:rsid w:val="000D5196"/>
    <w:rsid w:val="000D6955"/>
    <w:rsid w:val="000D792F"/>
    <w:rsid w:val="000D796F"/>
    <w:rsid w:val="000D7EB9"/>
    <w:rsid w:val="000E0140"/>
    <w:rsid w:val="000E0388"/>
    <w:rsid w:val="000E04AB"/>
    <w:rsid w:val="000E0732"/>
    <w:rsid w:val="000E1E32"/>
    <w:rsid w:val="000E2483"/>
    <w:rsid w:val="000E5345"/>
    <w:rsid w:val="000F02C5"/>
    <w:rsid w:val="000F049F"/>
    <w:rsid w:val="000F1648"/>
    <w:rsid w:val="000F2AD6"/>
    <w:rsid w:val="000F3300"/>
    <w:rsid w:val="000F3801"/>
    <w:rsid w:val="000F45B2"/>
    <w:rsid w:val="000F5478"/>
    <w:rsid w:val="000F5815"/>
    <w:rsid w:val="000F74D3"/>
    <w:rsid w:val="001011B7"/>
    <w:rsid w:val="00102348"/>
    <w:rsid w:val="00103196"/>
    <w:rsid w:val="00103394"/>
    <w:rsid w:val="00104CDE"/>
    <w:rsid w:val="00106176"/>
    <w:rsid w:val="001078DA"/>
    <w:rsid w:val="00107AF0"/>
    <w:rsid w:val="00107D2C"/>
    <w:rsid w:val="001102A4"/>
    <w:rsid w:val="001106C1"/>
    <w:rsid w:val="00111562"/>
    <w:rsid w:val="0011225F"/>
    <w:rsid w:val="001122F5"/>
    <w:rsid w:val="00112740"/>
    <w:rsid w:val="001135CA"/>
    <w:rsid w:val="0011364A"/>
    <w:rsid w:val="001153E1"/>
    <w:rsid w:val="00116B8C"/>
    <w:rsid w:val="001170C1"/>
    <w:rsid w:val="00117BD1"/>
    <w:rsid w:val="00117ECB"/>
    <w:rsid w:val="0012068A"/>
    <w:rsid w:val="00120EF0"/>
    <w:rsid w:val="00120F1E"/>
    <w:rsid w:val="0012136C"/>
    <w:rsid w:val="0012145F"/>
    <w:rsid w:val="00122170"/>
    <w:rsid w:val="00122DD9"/>
    <w:rsid w:val="00124F5F"/>
    <w:rsid w:val="00130463"/>
    <w:rsid w:val="00130C6D"/>
    <w:rsid w:val="00131773"/>
    <w:rsid w:val="00131858"/>
    <w:rsid w:val="00131EED"/>
    <w:rsid w:val="00132208"/>
    <w:rsid w:val="0013425E"/>
    <w:rsid w:val="001359BC"/>
    <w:rsid w:val="00135B7F"/>
    <w:rsid w:val="001361C1"/>
    <w:rsid w:val="00140532"/>
    <w:rsid w:val="00141BCD"/>
    <w:rsid w:val="00141CDB"/>
    <w:rsid w:val="00142206"/>
    <w:rsid w:val="00143286"/>
    <w:rsid w:val="0014434C"/>
    <w:rsid w:val="00144BD6"/>
    <w:rsid w:val="00144BF7"/>
    <w:rsid w:val="00146895"/>
    <w:rsid w:val="00146BC7"/>
    <w:rsid w:val="00147093"/>
    <w:rsid w:val="001472F5"/>
    <w:rsid w:val="00147AE6"/>
    <w:rsid w:val="00147DDE"/>
    <w:rsid w:val="00152BF2"/>
    <w:rsid w:val="00153121"/>
    <w:rsid w:val="00156BC4"/>
    <w:rsid w:val="0015785A"/>
    <w:rsid w:val="00157914"/>
    <w:rsid w:val="00157FD4"/>
    <w:rsid w:val="00163A9F"/>
    <w:rsid w:val="00165280"/>
    <w:rsid w:val="0016656E"/>
    <w:rsid w:val="001667DE"/>
    <w:rsid w:val="00166AFB"/>
    <w:rsid w:val="00166FA7"/>
    <w:rsid w:val="00171452"/>
    <w:rsid w:val="001732FD"/>
    <w:rsid w:val="00173857"/>
    <w:rsid w:val="00174938"/>
    <w:rsid w:val="00174D79"/>
    <w:rsid w:val="00174E36"/>
    <w:rsid w:val="00180E43"/>
    <w:rsid w:val="00184FA4"/>
    <w:rsid w:val="00185D45"/>
    <w:rsid w:val="00185E93"/>
    <w:rsid w:val="00186875"/>
    <w:rsid w:val="00186AD7"/>
    <w:rsid w:val="00186C67"/>
    <w:rsid w:val="00190B77"/>
    <w:rsid w:val="00191096"/>
    <w:rsid w:val="001918F8"/>
    <w:rsid w:val="001950C8"/>
    <w:rsid w:val="00195B32"/>
    <w:rsid w:val="00196C7C"/>
    <w:rsid w:val="0019797F"/>
    <w:rsid w:val="001A056A"/>
    <w:rsid w:val="001A1006"/>
    <w:rsid w:val="001A2400"/>
    <w:rsid w:val="001A3305"/>
    <w:rsid w:val="001A4517"/>
    <w:rsid w:val="001A55C4"/>
    <w:rsid w:val="001A5C33"/>
    <w:rsid w:val="001A5CB4"/>
    <w:rsid w:val="001A793D"/>
    <w:rsid w:val="001A7BA0"/>
    <w:rsid w:val="001A7CDA"/>
    <w:rsid w:val="001B0556"/>
    <w:rsid w:val="001B0DB5"/>
    <w:rsid w:val="001B15DD"/>
    <w:rsid w:val="001B5D0F"/>
    <w:rsid w:val="001B791E"/>
    <w:rsid w:val="001C0396"/>
    <w:rsid w:val="001C1295"/>
    <w:rsid w:val="001C2A0D"/>
    <w:rsid w:val="001C2B21"/>
    <w:rsid w:val="001C3241"/>
    <w:rsid w:val="001C363B"/>
    <w:rsid w:val="001C4861"/>
    <w:rsid w:val="001C4A26"/>
    <w:rsid w:val="001C4F2F"/>
    <w:rsid w:val="001C719C"/>
    <w:rsid w:val="001D0A80"/>
    <w:rsid w:val="001D0E6D"/>
    <w:rsid w:val="001D17A0"/>
    <w:rsid w:val="001D3C89"/>
    <w:rsid w:val="001D5985"/>
    <w:rsid w:val="001D65CC"/>
    <w:rsid w:val="001E0325"/>
    <w:rsid w:val="001E080E"/>
    <w:rsid w:val="001E2965"/>
    <w:rsid w:val="001E2E73"/>
    <w:rsid w:val="001E350F"/>
    <w:rsid w:val="001E3F38"/>
    <w:rsid w:val="001E4E9D"/>
    <w:rsid w:val="001F0C86"/>
    <w:rsid w:val="001F1314"/>
    <w:rsid w:val="001F16DD"/>
    <w:rsid w:val="001F193A"/>
    <w:rsid w:val="001F1F85"/>
    <w:rsid w:val="001F2505"/>
    <w:rsid w:val="001F3323"/>
    <w:rsid w:val="001F3572"/>
    <w:rsid w:val="001F39C6"/>
    <w:rsid w:val="001F53F2"/>
    <w:rsid w:val="001F5C8A"/>
    <w:rsid w:val="001F5E78"/>
    <w:rsid w:val="001F6728"/>
    <w:rsid w:val="00203313"/>
    <w:rsid w:val="00203A54"/>
    <w:rsid w:val="002046E9"/>
    <w:rsid w:val="002046F8"/>
    <w:rsid w:val="0020589A"/>
    <w:rsid w:val="0020692C"/>
    <w:rsid w:val="00206A3C"/>
    <w:rsid w:val="00206DE0"/>
    <w:rsid w:val="00206EA8"/>
    <w:rsid w:val="00207C5E"/>
    <w:rsid w:val="00207E99"/>
    <w:rsid w:val="00211123"/>
    <w:rsid w:val="002116AC"/>
    <w:rsid w:val="00211CEA"/>
    <w:rsid w:val="00212476"/>
    <w:rsid w:val="00213587"/>
    <w:rsid w:val="00213EC6"/>
    <w:rsid w:val="0021411D"/>
    <w:rsid w:val="0021630C"/>
    <w:rsid w:val="00216780"/>
    <w:rsid w:val="002169C5"/>
    <w:rsid w:val="00216A92"/>
    <w:rsid w:val="002213C7"/>
    <w:rsid w:val="00221749"/>
    <w:rsid w:val="00221FB8"/>
    <w:rsid w:val="00222069"/>
    <w:rsid w:val="00224C57"/>
    <w:rsid w:val="00225863"/>
    <w:rsid w:val="0022622C"/>
    <w:rsid w:val="00227231"/>
    <w:rsid w:val="00227EF8"/>
    <w:rsid w:val="002312CB"/>
    <w:rsid w:val="00231619"/>
    <w:rsid w:val="00231A45"/>
    <w:rsid w:val="00231F60"/>
    <w:rsid w:val="00233A6F"/>
    <w:rsid w:val="00235045"/>
    <w:rsid w:val="0023594D"/>
    <w:rsid w:val="002366CC"/>
    <w:rsid w:val="00237E85"/>
    <w:rsid w:val="0024075C"/>
    <w:rsid w:val="002409D0"/>
    <w:rsid w:val="00240B86"/>
    <w:rsid w:val="0024143B"/>
    <w:rsid w:val="00243E09"/>
    <w:rsid w:val="00244524"/>
    <w:rsid w:val="00244746"/>
    <w:rsid w:val="00244B56"/>
    <w:rsid w:val="00244F8D"/>
    <w:rsid w:val="00245678"/>
    <w:rsid w:val="00245EF1"/>
    <w:rsid w:val="00246A07"/>
    <w:rsid w:val="00246C3B"/>
    <w:rsid w:val="00247E16"/>
    <w:rsid w:val="0025095E"/>
    <w:rsid w:val="00250FE5"/>
    <w:rsid w:val="002512D9"/>
    <w:rsid w:val="00252139"/>
    <w:rsid w:val="0025228B"/>
    <w:rsid w:val="00253DC8"/>
    <w:rsid w:val="00256A47"/>
    <w:rsid w:val="00257D4D"/>
    <w:rsid w:val="00257F3E"/>
    <w:rsid w:val="00260022"/>
    <w:rsid w:val="00261F11"/>
    <w:rsid w:val="002630A6"/>
    <w:rsid w:val="00263180"/>
    <w:rsid w:val="002640E3"/>
    <w:rsid w:val="00264AE1"/>
    <w:rsid w:val="0026542C"/>
    <w:rsid w:val="00265BD9"/>
    <w:rsid w:val="002667D7"/>
    <w:rsid w:val="00267D6E"/>
    <w:rsid w:val="002702A9"/>
    <w:rsid w:val="00270997"/>
    <w:rsid w:val="002727EE"/>
    <w:rsid w:val="0027446E"/>
    <w:rsid w:val="00275156"/>
    <w:rsid w:val="002751B4"/>
    <w:rsid w:val="00275EB6"/>
    <w:rsid w:val="002762F6"/>
    <w:rsid w:val="002774E4"/>
    <w:rsid w:val="002806C1"/>
    <w:rsid w:val="002808F0"/>
    <w:rsid w:val="00281A38"/>
    <w:rsid w:val="00282490"/>
    <w:rsid w:val="00283AB9"/>
    <w:rsid w:val="00284328"/>
    <w:rsid w:val="002851D2"/>
    <w:rsid w:val="00285212"/>
    <w:rsid w:val="002857CB"/>
    <w:rsid w:val="00286594"/>
    <w:rsid w:val="0028659A"/>
    <w:rsid w:val="002866FB"/>
    <w:rsid w:val="00286CA1"/>
    <w:rsid w:val="00286DDC"/>
    <w:rsid w:val="00286F3A"/>
    <w:rsid w:val="00286FB0"/>
    <w:rsid w:val="00290585"/>
    <w:rsid w:val="0029061F"/>
    <w:rsid w:val="00290EDB"/>
    <w:rsid w:val="002911D4"/>
    <w:rsid w:val="00292617"/>
    <w:rsid w:val="00293141"/>
    <w:rsid w:val="00295064"/>
    <w:rsid w:val="00297FBC"/>
    <w:rsid w:val="002A03D6"/>
    <w:rsid w:val="002A0699"/>
    <w:rsid w:val="002A0A48"/>
    <w:rsid w:val="002A0AAF"/>
    <w:rsid w:val="002A1398"/>
    <w:rsid w:val="002A2CC1"/>
    <w:rsid w:val="002A30F9"/>
    <w:rsid w:val="002A3410"/>
    <w:rsid w:val="002A3DE2"/>
    <w:rsid w:val="002A4B1A"/>
    <w:rsid w:val="002A4F05"/>
    <w:rsid w:val="002A5372"/>
    <w:rsid w:val="002A67D5"/>
    <w:rsid w:val="002A6E4C"/>
    <w:rsid w:val="002A76EF"/>
    <w:rsid w:val="002B03FC"/>
    <w:rsid w:val="002B05B7"/>
    <w:rsid w:val="002B0756"/>
    <w:rsid w:val="002B1660"/>
    <w:rsid w:val="002B199D"/>
    <w:rsid w:val="002B2806"/>
    <w:rsid w:val="002B2F8B"/>
    <w:rsid w:val="002B3C2A"/>
    <w:rsid w:val="002B43AA"/>
    <w:rsid w:val="002B5072"/>
    <w:rsid w:val="002B525C"/>
    <w:rsid w:val="002B6BDB"/>
    <w:rsid w:val="002B6C2C"/>
    <w:rsid w:val="002B7DCE"/>
    <w:rsid w:val="002C11BA"/>
    <w:rsid w:val="002C165D"/>
    <w:rsid w:val="002C19F8"/>
    <w:rsid w:val="002C31FC"/>
    <w:rsid w:val="002C389E"/>
    <w:rsid w:val="002C41AB"/>
    <w:rsid w:val="002C455F"/>
    <w:rsid w:val="002C4768"/>
    <w:rsid w:val="002C7237"/>
    <w:rsid w:val="002C74FA"/>
    <w:rsid w:val="002D0218"/>
    <w:rsid w:val="002D1585"/>
    <w:rsid w:val="002D5823"/>
    <w:rsid w:val="002E050A"/>
    <w:rsid w:val="002E0EE7"/>
    <w:rsid w:val="002E1CC0"/>
    <w:rsid w:val="002E238C"/>
    <w:rsid w:val="002E309D"/>
    <w:rsid w:val="002E3316"/>
    <w:rsid w:val="002E3B12"/>
    <w:rsid w:val="002E435E"/>
    <w:rsid w:val="002E48EA"/>
    <w:rsid w:val="002E5E42"/>
    <w:rsid w:val="002E6374"/>
    <w:rsid w:val="002E6EA9"/>
    <w:rsid w:val="002E7411"/>
    <w:rsid w:val="002F1B5C"/>
    <w:rsid w:val="002F3F7B"/>
    <w:rsid w:val="002F4C25"/>
    <w:rsid w:val="002F550B"/>
    <w:rsid w:val="002F630D"/>
    <w:rsid w:val="002F7DA7"/>
    <w:rsid w:val="0030186E"/>
    <w:rsid w:val="003022E6"/>
    <w:rsid w:val="0030423D"/>
    <w:rsid w:val="003057C7"/>
    <w:rsid w:val="00305B83"/>
    <w:rsid w:val="003061F0"/>
    <w:rsid w:val="003072A6"/>
    <w:rsid w:val="00307422"/>
    <w:rsid w:val="0031058A"/>
    <w:rsid w:val="00310CC4"/>
    <w:rsid w:val="00311691"/>
    <w:rsid w:val="00311953"/>
    <w:rsid w:val="00311B6A"/>
    <w:rsid w:val="00311C02"/>
    <w:rsid w:val="00311C9F"/>
    <w:rsid w:val="00312130"/>
    <w:rsid w:val="00312CFA"/>
    <w:rsid w:val="00312FDD"/>
    <w:rsid w:val="00316134"/>
    <w:rsid w:val="00316A32"/>
    <w:rsid w:val="0031799E"/>
    <w:rsid w:val="003179ED"/>
    <w:rsid w:val="00317DE4"/>
    <w:rsid w:val="00322243"/>
    <w:rsid w:val="003227B5"/>
    <w:rsid w:val="003227D6"/>
    <w:rsid w:val="00322A17"/>
    <w:rsid w:val="00323257"/>
    <w:rsid w:val="003236FB"/>
    <w:rsid w:val="00323A99"/>
    <w:rsid w:val="00324134"/>
    <w:rsid w:val="0032450B"/>
    <w:rsid w:val="00325E72"/>
    <w:rsid w:val="0032665A"/>
    <w:rsid w:val="003267C1"/>
    <w:rsid w:val="003274D6"/>
    <w:rsid w:val="00327EBF"/>
    <w:rsid w:val="003300DD"/>
    <w:rsid w:val="003301ED"/>
    <w:rsid w:val="003306AA"/>
    <w:rsid w:val="00330ED7"/>
    <w:rsid w:val="003319CE"/>
    <w:rsid w:val="00332CEE"/>
    <w:rsid w:val="00333E1B"/>
    <w:rsid w:val="003344DC"/>
    <w:rsid w:val="003353AE"/>
    <w:rsid w:val="003402B8"/>
    <w:rsid w:val="003402FC"/>
    <w:rsid w:val="003415F9"/>
    <w:rsid w:val="003430BA"/>
    <w:rsid w:val="00344F2F"/>
    <w:rsid w:val="00346E0F"/>
    <w:rsid w:val="00347973"/>
    <w:rsid w:val="00347CCA"/>
    <w:rsid w:val="003502AE"/>
    <w:rsid w:val="00352D80"/>
    <w:rsid w:val="00354A81"/>
    <w:rsid w:val="003558B1"/>
    <w:rsid w:val="00356D98"/>
    <w:rsid w:val="00357D94"/>
    <w:rsid w:val="00357E0F"/>
    <w:rsid w:val="003606A7"/>
    <w:rsid w:val="00360F6A"/>
    <w:rsid w:val="00361F8E"/>
    <w:rsid w:val="00362251"/>
    <w:rsid w:val="0036255C"/>
    <w:rsid w:val="003656AC"/>
    <w:rsid w:val="00366204"/>
    <w:rsid w:val="0037108C"/>
    <w:rsid w:val="00371290"/>
    <w:rsid w:val="0037202E"/>
    <w:rsid w:val="00374475"/>
    <w:rsid w:val="0037452A"/>
    <w:rsid w:val="0037598C"/>
    <w:rsid w:val="00376622"/>
    <w:rsid w:val="003775C6"/>
    <w:rsid w:val="003818F7"/>
    <w:rsid w:val="003819CA"/>
    <w:rsid w:val="0038428A"/>
    <w:rsid w:val="00384840"/>
    <w:rsid w:val="0038519D"/>
    <w:rsid w:val="0038535A"/>
    <w:rsid w:val="00385BD2"/>
    <w:rsid w:val="003864D5"/>
    <w:rsid w:val="00392052"/>
    <w:rsid w:val="00392943"/>
    <w:rsid w:val="00392CD8"/>
    <w:rsid w:val="00392E43"/>
    <w:rsid w:val="003930C2"/>
    <w:rsid w:val="00394E59"/>
    <w:rsid w:val="0039594C"/>
    <w:rsid w:val="00397EE5"/>
    <w:rsid w:val="003A08EE"/>
    <w:rsid w:val="003A12FB"/>
    <w:rsid w:val="003A161D"/>
    <w:rsid w:val="003A2BC0"/>
    <w:rsid w:val="003A3E42"/>
    <w:rsid w:val="003A7121"/>
    <w:rsid w:val="003A7206"/>
    <w:rsid w:val="003A73C7"/>
    <w:rsid w:val="003A749C"/>
    <w:rsid w:val="003B0EF0"/>
    <w:rsid w:val="003B1EFA"/>
    <w:rsid w:val="003B306C"/>
    <w:rsid w:val="003B4C35"/>
    <w:rsid w:val="003B5428"/>
    <w:rsid w:val="003B6E11"/>
    <w:rsid w:val="003B6F6F"/>
    <w:rsid w:val="003B7BCD"/>
    <w:rsid w:val="003C1561"/>
    <w:rsid w:val="003C1DC0"/>
    <w:rsid w:val="003C524D"/>
    <w:rsid w:val="003C6F64"/>
    <w:rsid w:val="003C77D7"/>
    <w:rsid w:val="003D241A"/>
    <w:rsid w:val="003D29F1"/>
    <w:rsid w:val="003D44B1"/>
    <w:rsid w:val="003D48E1"/>
    <w:rsid w:val="003D4F52"/>
    <w:rsid w:val="003D5EA7"/>
    <w:rsid w:val="003D6729"/>
    <w:rsid w:val="003E18D0"/>
    <w:rsid w:val="003E1CFC"/>
    <w:rsid w:val="003E1D20"/>
    <w:rsid w:val="003E2B11"/>
    <w:rsid w:val="003E3141"/>
    <w:rsid w:val="003E36F2"/>
    <w:rsid w:val="003E3F1B"/>
    <w:rsid w:val="003E40B2"/>
    <w:rsid w:val="003E48E0"/>
    <w:rsid w:val="003E56B5"/>
    <w:rsid w:val="003E5F18"/>
    <w:rsid w:val="003E65EF"/>
    <w:rsid w:val="003E6ACF"/>
    <w:rsid w:val="003E711B"/>
    <w:rsid w:val="003F056B"/>
    <w:rsid w:val="003F0627"/>
    <w:rsid w:val="003F09D0"/>
    <w:rsid w:val="003F153A"/>
    <w:rsid w:val="003F17FC"/>
    <w:rsid w:val="003F2095"/>
    <w:rsid w:val="003F227F"/>
    <w:rsid w:val="003F28FD"/>
    <w:rsid w:val="003F2D2B"/>
    <w:rsid w:val="003F2E62"/>
    <w:rsid w:val="003F56F8"/>
    <w:rsid w:val="003F5769"/>
    <w:rsid w:val="003F5E6E"/>
    <w:rsid w:val="003F66EA"/>
    <w:rsid w:val="003F66EE"/>
    <w:rsid w:val="003F66FE"/>
    <w:rsid w:val="003F79C4"/>
    <w:rsid w:val="003F7CEF"/>
    <w:rsid w:val="00400413"/>
    <w:rsid w:val="0040358C"/>
    <w:rsid w:val="004051A5"/>
    <w:rsid w:val="00407521"/>
    <w:rsid w:val="004078CD"/>
    <w:rsid w:val="004100E5"/>
    <w:rsid w:val="00410A0D"/>
    <w:rsid w:val="00410FFF"/>
    <w:rsid w:val="0041289F"/>
    <w:rsid w:val="004131C8"/>
    <w:rsid w:val="0041566F"/>
    <w:rsid w:val="00416479"/>
    <w:rsid w:val="00417950"/>
    <w:rsid w:val="00420116"/>
    <w:rsid w:val="00422F5C"/>
    <w:rsid w:val="0042343F"/>
    <w:rsid w:val="004241A7"/>
    <w:rsid w:val="00425AE7"/>
    <w:rsid w:val="00425B60"/>
    <w:rsid w:val="00427B55"/>
    <w:rsid w:val="004317E9"/>
    <w:rsid w:val="004331DF"/>
    <w:rsid w:val="00433B91"/>
    <w:rsid w:val="00433BE1"/>
    <w:rsid w:val="00437F00"/>
    <w:rsid w:val="00441640"/>
    <w:rsid w:val="00441828"/>
    <w:rsid w:val="00443D55"/>
    <w:rsid w:val="00444C42"/>
    <w:rsid w:val="00444FF7"/>
    <w:rsid w:val="00445B38"/>
    <w:rsid w:val="004468CB"/>
    <w:rsid w:val="00446AD4"/>
    <w:rsid w:val="004474D2"/>
    <w:rsid w:val="004479C8"/>
    <w:rsid w:val="004479F9"/>
    <w:rsid w:val="004479FD"/>
    <w:rsid w:val="00447B30"/>
    <w:rsid w:val="00447C82"/>
    <w:rsid w:val="004510E9"/>
    <w:rsid w:val="00451485"/>
    <w:rsid w:val="004516D1"/>
    <w:rsid w:val="0045238C"/>
    <w:rsid w:val="004529DA"/>
    <w:rsid w:val="004529E2"/>
    <w:rsid w:val="0045424D"/>
    <w:rsid w:val="004551D7"/>
    <w:rsid w:val="00455706"/>
    <w:rsid w:val="0045594A"/>
    <w:rsid w:val="00455A93"/>
    <w:rsid w:val="00456685"/>
    <w:rsid w:val="00457C8C"/>
    <w:rsid w:val="00457F16"/>
    <w:rsid w:val="00460E4A"/>
    <w:rsid w:val="0046223F"/>
    <w:rsid w:val="0046269D"/>
    <w:rsid w:val="004633D0"/>
    <w:rsid w:val="004635D4"/>
    <w:rsid w:val="004636D2"/>
    <w:rsid w:val="00463C25"/>
    <w:rsid w:val="00465993"/>
    <w:rsid w:val="00465D2A"/>
    <w:rsid w:val="00465FA7"/>
    <w:rsid w:val="00470269"/>
    <w:rsid w:val="00470589"/>
    <w:rsid w:val="00473F63"/>
    <w:rsid w:val="0047539A"/>
    <w:rsid w:val="00475996"/>
    <w:rsid w:val="00477049"/>
    <w:rsid w:val="0047721F"/>
    <w:rsid w:val="00477668"/>
    <w:rsid w:val="00480BA2"/>
    <w:rsid w:val="004810B8"/>
    <w:rsid w:val="004813B0"/>
    <w:rsid w:val="004823D3"/>
    <w:rsid w:val="00482A52"/>
    <w:rsid w:val="004845F1"/>
    <w:rsid w:val="00485F3C"/>
    <w:rsid w:val="00485F55"/>
    <w:rsid w:val="004865B1"/>
    <w:rsid w:val="00487918"/>
    <w:rsid w:val="004900EC"/>
    <w:rsid w:val="00490AFF"/>
    <w:rsid w:val="004910A5"/>
    <w:rsid w:val="004918F1"/>
    <w:rsid w:val="00492335"/>
    <w:rsid w:val="004941E9"/>
    <w:rsid w:val="00494EF8"/>
    <w:rsid w:val="004956D0"/>
    <w:rsid w:val="004968C9"/>
    <w:rsid w:val="004975CF"/>
    <w:rsid w:val="004A0455"/>
    <w:rsid w:val="004A0641"/>
    <w:rsid w:val="004A12AF"/>
    <w:rsid w:val="004A1772"/>
    <w:rsid w:val="004A18A6"/>
    <w:rsid w:val="004A214C"/>
    <w:rsid w:val="004A2E10"/>
    <w:rsid w:val="004A31D0"/>
    <w:rsid w:val="004A3967"/>
    <w:rsid w:val="004A5782"/>
    <w:rsid w:val="004A586E"/>
    <w:rsid w:val="004A5AF4"/>
    <w:rsid w:val="004B14AD"/>
    <w:rsid w:val="004B23E3"/>
    <w:rsid w:val="004B5C27"/>
    <w:rsid w:val="004B6780"/>
    <w:rsid w:val="004B7B4C"/>
    <w:rsid w:val="004C0A04"/>
    <w:rsid w:val="004C1209"/>
    <w:rsid w:val="004C4251"/>
    <w:rsid w:val="004C4D0F"/>
    <w:rsid w:val="004C62EC"/>
    <w:rsid w:val="004C63D4"/>
    <w:rsid w:val="004C75A9"/>
    <w:rsid w:val="004C778C"/>
    <w:rsid w:val="004D10BC"/>
    <w:rsid w:val="004D1BCE"/>
    <w:rsid w:val="004D2727"/>
    <w:rsid w:val="004D37FD"/>
    <w:rsid w:val="004D3F35"/>
    <w:rsid w:val="004D66EC"/>
    <w:rsid w:val="004D6ADF"/>
    <w:rsid w:val="004D7685"/>
    <w:rsid w:val="004E0F29"/>
    <w:rsid w:val="004E16E0"/>
    <w:rsid w:val="004E3781"/>
    <w:rsid w:val="004E4340"/>
    <w:rsid w:val="004E476D"/>
    <w:rsid w:val="004E4EBB"/>
    <w:rsid w:val="004E7756"/>
    <w:rsid w:val="004E7D93"/>
    <w:rsid w:val="004F2458"/>
    <w:rsid w:val="004F3520"/>
    <w:rsid w:val="004F61C9"/>
    <w:rsid w:val="004F71AB"/>
    <w:rsid w:val="00500147"/>
    <w:rsid w:val="00500395"/>
    <w:rsid w:val="00502785"/>
    <w:rsid w:val="00502954"/>
    <w:rsid w:val="0050348A"/>
    <w:rsid w:val="0051145E"/>
    <w:rsid w:val="005119CF"/>
    <w:rsid w:val="00511AC8"/>
    <w:rsid w:val="00511C82"/>
    <w:rsid w:val="0051253B"/>
    <w:rsid w:val="00512583"/>
    <w:rsid w:val="005127BB"/>
    <w:rsid w:val="00512A95"/>
    <w:rsid w:val="005133CE"/>
    <w:rsid w:val="005138D1"/>
    <w:rsid w:val="00513B57"/>
    <w:rsid w:val="00515424"/>
    <w:rsid w:val="00517085"/>
    <w:rsid w:val="00517353"/>
    <w:rsid w:val="00517EA0"/>
    <w:rsid w:val="0052023A"/>
    <w:rsid w:val="00521923"/>
    <w:rsid w:val="00521B4D"/>
    <w:rsid w:val="00521E55"/>
    <w:rsid w:val="00522737"/>
    <w:rsid w:val="00522FD5"/>
    <w:rsid w:val="0052328E"/>
    <w:rsid w:val="00523F3A"/>
    <w:rsid w:val="005252F6"/>
    <w:rsid w:val="00525450"/>
    <w:rsid w:val="00527EFD"/>
    <w:rsid w:val="00530C03"/>
    <w:rsid w:val="00531245"/>
    <w:rsid w:val="0053266A"/>
    <w:rsid w:val="00532E1D"/>
    <w:rsid w:val="00535685"/>
    <w:rsid w:val="005360CD"/>
    <w:rsid w:val="00536C63"/>
    <w:rsid w:val="00540698"/>
    <w:rsid w:val="00540BF8"/>
    <w:rsid w:val="005414F5"/>
    <w:rsid w:val="005458A4"/>
    <w:rsid w:val="00546781"/>
    <w:rsid w:val="00547EC9"/>
    <w:rsid w:val="00550E31"/>
    <w:rsid w:val="00550FE0"/>
    <w:rsid w:val="005517D8"/>
    <w:rsid w:val="0055183D"/>
    <w:rsid w:val="0055184C"/>
    <w:rsid w:val="00551DB6"/>
    <w:rsid w:val="00552908"/>
    <w:rsid w:val="00552961"/>
    <w:rsid w:val="005533BA"/>
    <w:rsid w:val="00553500"/>
    <w:rsid w:val="00553758"/>
    <w:rsid w:val="005547BF"/>
    <w:rsid w:val="00555742"/>
    <w:rsid w:val="005568C8"/>
    <w:rsid w:val="005626B0"/>
    <w:rsid w:val="0056414B"/>
    <w:rsid w:val="00566174"/>
    <w:rsid w:val="0056666F"/>
    <w:rsid w:val="00566B59"/>
    <w:rsid w:val="00566D9A"/>
    <w:rsid w:val="005707BA"/>
    <w:rsid w:val="00570B21"/>
    <w:rsid w:val="00572357"/>
    <w:rsid w:val="00575E89"/>
    <w:rsid w:val="00576107"/>
    <w:rsid w:val="00576C6E"/>
    <w:rsid w:val="0057709E"/>
    <w:rsid w:val="00577EB9"/>
    <w:rsid w:val="00580556"/>
    <w:rsid w:val="0058399A"/>
    <w:rsid w:val="0058594A"/>
    <w:rsid w:val="00586409"/>
    <w:rsid w:val="005902A6"/>
    <w:rsid w:val="00592208"/>
    <w:rsid w:val="005946AC"/>
    <w:rsid w:val="0059591B"/>
    <w:rsid w:val="00596F72"/>
    <w:rsid w:val="005974B1"/>
    <w:rsid w:val="0059764B"/>
    <w:rsid w:val="005A079A"/>
    <w:rsid w:val="005A2770"/>
    <w:rsid w:val="005A3776"/>
    <w:rsid w:val="005A390E"/>
    <w:rsid w:val="005A5BD3"/>
    <w:rsid w:val="005A63B5"/>
    <w:rsid w:val="005A7ED1"/>
    <w:rsid w:val="005B376C"/>
    <w:rsid w:val="005B4F40"/>
    <w:rsid w:val="005B6F6F"/>
    <w:rsid w:val="005B738F"/>
    <w:rsid w:val="005C10DD"/>
    <w:rsid w:val="005C251C"/>
    <w:rsid w:val="005C4259"/>
    <w:rsid w:val="005C42AD"/>
    <w:rsid w:val="005C4F19"/>
    <w:rsid w:val="005C5C67"/>
    <w:rsid w:val="005C5F55"/>
    <w:rsid w:val="005C614D"/>
    <w:rsid w:val="005C7A0F"/>
    <w:rsid w:val="005D021B"/>
    <w:rsid w:val="005D418F"/>
    <w:rsid w:val="005D41CF"/>
    <w:rsid w:val="005D4CAF"/>
    <w:rsid w:val="005D5957"/>
    <w:rsid w:val="005D5CC2"/>
    <w:rsid w:val="005D70C5"/>
    <w:rsid w:val="005E129C"/>
    <w:rsid w:val="005E32B7"/>
    <w:rsid w:val="005E413F"/>
    <w:rsid w:val="005E4217"/>
    <w:rsid w:val="005E45D8"/>
    <w:rsid w:val="005E4F4C"/>
    <w:rsid w:val="005E588D"/>
    <w:rsid w:val="005E621D"/>
    <w:rsid w:val="005E71F8"/>
    <w:rsid w:val="005F026D"/>
    <w:rsid w:val="005F0AF1"/>
    <w:rsid w:val="005F1127"/>
    <w:rsid w:val="005F2EE3"/>
    <w:rsid w:val="005F415F"/>
    <w:rsid w:val="005F5139"/>
    <w:rsid w:val="005F556A"/>
    <w:rsid w:val="005F5C70"/>
    <w:rsid w:val="005F7629"/>
    <w:rsid w:val="00600B91"/>
    <w:rsid w:val="00600F0E"/>
    <w:rsid w:val="00601DF0"/>
    <w:rsid w:val="00602333"/>
    <w:rsid w:val="00602690"/>
    <w:rsid w:val="0060336C"/>
    <w:rsid w:val="0060343F"/>
    <w:rsid w:val="00603F59"/>
    <w:rsid w:val="00604EEE"/>
    <w:rsid w:val="006063AD"/>
    <w:rsid w:val="00606C18"/>
    <w:rsid w:val="00610405"/>
    <w:rsid w:val="0061055A"/>
    <w:rsid w:val="00610D92"/>
    <w:rsid w:val="00611077"/>
    <w:rsid w:val="006112FE"/>
    <w:rsid w:val="00613DF6"/>
    <w:rsid w:val="0061429C"/>
    <w:rsid w:val="0061465C"/>
    <w:rsid w:val="00614EE0"/>
    <w:rsid w:val="006154D3"/>
    <w:rsid w:val="00617BBD"/>
    <w:rsid w:val="006209F3"/>
    <w:rsid w:val="00620D5A"/>
    <w:rsid w:val="00620D94"/>
    <w:rsid w:val="006214D4"/>
    <w:rsid w:val="00621806"/>
    <w:rsid w:val="00623606"/>
    <w:rsid w:val="00624C81"/>
    <w:rsid w:val="00631DD2"/>
    <w:rsid w:val="0063566A"/>
    <w:rsid w:val="00635680"/>
    <w:rsid w:val="00636675"/>
    <w:rsid w:val="00636699"/>
    <w:rsid w:val="0063730D"/>
    <w:rsid w:val="006421E2"/>
    <w:rsid w:val="00642B8A"/>
    <w:rsid w:val="00643711"/>
    <w:rsid w:val="00643CBB"/>
    <w:rsid w:val="00644184"/>
    <w:rsid w:val="0064456E"/>
    <w:rsid w:val="006461DF"/>
    <w:rsid w:val="006466CD"/>
    <w:rsid w:val="00647938"/>
    <w:rsid w:val="006513C9"/>
    <w:rsid w:val="00651F83"/>
    <w:rsid w:val="00652788"/>
    <w:rsid w:val="0065383C"/>
    <w:rsid w:val="00653FFE"/>
    <w:rsid w:val="0065507D"/>
    <w:rsid w:val="00655E4E"/>
    <w:rsid w:val="006560D1"/>
    <w:rsid w:val="0065661A"/>
    <w:rsid w:val="0065694A"/>
    <w:rsid w:val="006574CE"/>
    <w:rsid w:val="0065785B"/>
    <w:rsid w:val="00657AA5"/>
    <w:rsid w:val="00657C75"/>
    <w:rsid w:val="00661281"/>
    <w:rsid w:val="006613BE"/>
    <w:rsid w:val="00661E96"/>
    <w:rsid w:val="00662586"/>
    <w:rsid w:val="006625D5"/>
    <w:rsid w:val="00662AE1"/>
    <w:rsid w:val="0066314C"/>
    <w:rsid w:val="00663FBC"/>
    <w:rsid w:val="00666015"/>
    <w:rsid w:val="00666F5E"/>
    <w:rsid w:val="00667371"/>
    <w:rsid w:val="006675B6"/>
    <w:rsid w:val="00670A00"/>
    <w:rsid w:val="006722F7"/>
    <w:rsid w:val="006723B1"/>
    <w:rsid w:val="0067278C"/>
    <w:rsid w:val="00673B32"/>
    <w:rsid w:val="006756EE"/>
    <w:rsid w:val="00676048"/>
    <w:rsid w:val="00676381"/>
    <w:rsid w:val="00677F9E"/>
    <w:rsid w:val="00680DD1"/>
    <w:rsid w:val="00680F94"/>
    <w:rsid w:val="006810F6"/>
    <w:rsid w:val="00681E5F"/>
    <w:rsid w:val="006826ED"/>
    <w:rsid w:val="00683320"/>
    <w:rsid w:val="0068356B"/>
    <w:rsid w:val="00683BAB"/>
    <w:rsid w:val="00683EFB"/>
    <w:rsid w:val="0068490F"/>
    <w:rsid w:val="00684BA9"/>
    <w:rsid w:val="00685CBC"/>
    <w:rsid w:val="006861EF"/>
    <w:rsid w:val="00686C72"/>
    <w:rsid w:val="006879DA"/>
    <w:rsid w:val="0069078D"/>
    <w:rsid w:val="006910F2"/>
    <w:rsid w:val="006932AA"/>
    <w:rsid w:val="00693ADF"/>
    <w:rsid w:val="00695B9B"/>
    <w:rsid w:val="0069619C"/>
    <w:rsid w:val="00696242"/>
    <w:rsid w:val="006966C0"/>
    <w:rsid w:val="00696B9E"/>
    <w:rsid w:val="00697EC1"/>
    <w:rsid w:val="006A0790"/>
    <w:rsid w:val="006A1717"/>
    <w:rsid w:val="006A17F6"/>
    <w:rsid w:val="006A2261"/>
    <w:rsid w:val="006A2C36"/>
    <w:rsid w:val="006A321B"/>
    <w:rsid w:val="006A4658"/>
    <w:rsid w:val="006A60BC"/>
    <w:rsid w:val="006A7178"/>
    <w:rsid w:val="006A7227"/>
    <w:rsid w:val="006A7E69"/>
    <w:rsid w:val="006B0554"/>
    <w:rsid w:val="006B0680"/>
    <w:rsid w:val="006B1488"/>
    <w:rsid w:val="006B1918"/>
    <w:rsid w:val="006B19B2"/>
    <w:rsid w:val="006B22E0"/>
    <w:rsid w:val="006B2674"/>
    <w:rsid w:val="006B454C"/>
    <w:rsid w:val="006B5AA0"/>
    <w:rsid w:val="006B6A86"/>
    <w:rsid w:val="006B6F35"/>
    <w:rsid w:val="006B734E"/>
    <w:rsid w:val="006C016B"/>
    <w:rsid w:val="006C038D"/>
    <w:rsid w:val="006C0593"/>
    <w:rsid w:val="006C1A04"/>
    <w:rsid w:val="006C1B42"/>
    <w:rsid w:val="006C20F0"/>
    <w:rsid w:val="006C2212"/>
    <w:rsid w:val="006C2274"/>
    <w:rsid w:val="006C2E19"/>
    <w:rsid w:val="006C31BC"/>
    <w:rsid w:val="006C3334"/>
    <w:rsid w:val="006C433D"/>
    <w:rsid w:val="006C574C"/>
    <w:rsid w:val="006C5E33"/>
    <w:rsid w:val="006C7180"/>
    <w:rsid w:val="006C7BF7"/>
    <w:rsid w:val="006D0A86"/>
    <w:rsid w:val="006D113E"/>
    <w:rsid w:val="006D2428"/>
    <w:rsid w:val="006D2564"/>
    <w:rsid w:val="006D27EC"/>
    <w:rsid w:val="006D2D91"/>
    <w:rsid w:val="006D3607"/>
    <w:rsid w:val="006D384B"/>
    <w:rsid w:val="006D5567"/>
    <w:rsid w:val="006D5DCD"/>
    <w:rsid w:val="006D6429"/>
    <w:rsid w:val="006E113B"/>
    <w:rsid w:val="006E1458"/>
    <w:rsid w:val="006E2167"/>
    <w:rsid w:val="006E23C1"/>
    <w:rsid w:val="006E4414"/>
    <w:rsid w:val="006E739D"/>
    <w:rsid w:val="006E7493"/>
    <w:rsid w:val="006F0239"/>
    <w:rsid w:val="006F0B17"/>
    <w:rsid w:val="006F1E94"/>
    <w:rsid w:val="006F40E9"/>
    <w:rsid w:val="006F668D"/>
    <w:rsid w:val="006F69EF"/>
    <w:rsid w:val="006F6D40"/>
    <w:rsid w:val="007013CA"/>
    <w:rsid w:val="00706A8D"/>
    <w:rsid w:val="00707BCD"/>
    <w:rsid w:val="00707E92"/>
    <w:rsid w:val="007107EC"/>
    <w:rsid w:val="00712AE7"/>
    <w:rsid w:val="0071351F"/>
    <w:rsid w:val="00714F59"/>
    <w:rsid w:val="00715013"/>
    <w:rsid w:val="00716A64"/>
    <w:rsid w:val="00716CAB"/>
    <w:rsid w:val="00720050"/>
    <w:rsid w:val="00720682"/>
    <w:rsid w:val="00720A6D"/>
    <w:rsid w:val="007215FC"/>
    <w:rsid w:val="00722216"/>
    <w:rsid w:val="00723E1A"/>
    <w:rsid w:val="00724231"/>
    <w:rsid w:val="007246B3"/>
    <w:rsid w:val="00725C56"/>
    <w:rsid w:val="007266ED"/>
    <w:rsid w:val="00727591"/>
    <w:rsid w:val="007337A1"/>
    <w:rsid w:val="007344AB"/>
    <w:rsid w:val="0073467E"/>
    <w:rsid w:val="00735102"/>
    <w:rsid w:val="00736CCF"/>
    <w:rsid w:val="0074017C"/>
    <w:rsid w:val="00740767"/>
    <w:rsid w:val="00740C22"/>
    <w:rsid w:val="00740C39"/>
    <w:rsid w:val="00740E04"/>
    <w:rsid w:val="00740FD7"/>
    <w:rsid w:val="0074103D"/>
    <w:rsid w:val="00741CC0"/>
    <w:rsid w:val="00745E3E"/>
    <w:rsid w:val="007469DF"/>
    <w:rsid w:val="00750FF6"/>
    <w:rsid w:val="007516C9"/>
    <w:rsid w:val="007518C9"/>
    <w:rsid w:val="00752085"/>
    <w:rsid w:val="00752CB4"/>
    <w:rsid w:val="00753756"/>
    <w:rsid w:val="00754950"/>
    <w:rsid w:val="00754BC2"/>
    <w:rsid w:val="0075590C"/>
    <w:rsid w:val="007562F5"/>
    <w:rsid w:val="0075652E"/>
    <w:rsid w:val="0075656D"/>
    <w:rsid w:val="007603FB"/>
    <w:rsid w:val="00760F4D"/>
    <w:rsid w:val="0076123C"/>
    <w:rsid w:val="00761974"/>
    <w:rsid w:val="007648E3"/>
    <w:rsid w:val="00767747"/>
    <w:rsid w:val="007679E2"/>
    <w:rsid w:val="00767E5A"/>
    <w:rsid w:val="00770CF8"/>
    <w:rsid w:val="00770E1F"/>
    <w:rsid w:val="0077134E"/>
    <w:rsid w:val="00771789"/>
    <w:rsid w:val="00771FDD"/>
    <w:rsid w:val="0077275B"/>
    <w:rsid w:val="00772866"/>
    <w:rsid w:val="00772A07"/>
    <w:rsid w:val="0077372F"/>
    <w:rsid w:val="007747C4"/>
    <w:rsid w:val="0077480E"/>
    <w:rsid w:val="00774E22"/>
    <w:rsid w:val="00774F85"/>
    <w:rsid w:val="00775770"/>
    <w:rsid w:val="00775905"/>
    <w:rsid w:val="00775AAE"/>
    <w:rsid w:val="007804D3"/>
    <w:rsid w:val="00780577"/>
    <w:rsid w:val="0078105B"/>
    <w:rsid w:val="00781F72"/>
    <w:rsid w:val="0078557F"/>
    <w:rsid w:val="00785F2B"/>
    <w:rsid w:val="007875D7"/>
    <w:rsid w:val="00787A62"/>
    <w:rsid w:val="00790599"/>
    <w:rsid w:val="00790BA2"/>
    <w:rsid w:val="00791245"/>
    <w:rsid w:val="0079264A"/>
    <w:rsid w:val="0079532E"/>
    <w:rsid w:val="0079556F"/>
    <w:rsid w:val="007958C8"/>
    <w:rsid w:val="007960D8"/>
    <w:rsid w:val="0079656A"/>
    <w:rsid w:val="007974C3"/>
    <w:rsid w:val="007975FE"/>
    <w:rsid w:val="00797CAE"/>
    <w:rsid w:val="007A5A5B"/>
    <w:rsid w:val="007A6A48"/>
    <w:rsid w:val="007A7841"/>
    <w:rsid w:val="007B02C9"/>
    <w:rsid w:val="007B140C"/>
    <w:rsid w:val="007B51EA"/>
    <w:rsid w:val="007B5901"/>
    <w:rsid w:val="007B61D7"/>
    <w:rsid w:val="007B6B86"/>
    <w:rsid w:val="007B7CC3"/>
    <w:rsid w:val="007C003B"/>
    <w:rsid w:val="007C1FA3"/>
    <w:rsid w:val="007C2944"/>
    <w:rsid w:val="007C2FE3"/>
    <w:rsid w:val="007C432E"/>
    <w:rsid w:val="007C5407"/>
    <w:rsid w:val="007C555A"/>
    <w:rsid w:val="007C57AA"/>
    <w:rsid w:val="007C5C6B"/>
    <w:rsid w:val="007C63B9"/>
    <w:rsid w:val="007C63BE"/>
    <w:rsid w:val="007D1044"/>
    <w:rsid w:val="007D1A41"/>
    <w:rsid w:val="007D1C83"/>
    <w:rsid w:val="007D2D0E"/>
    <w:rsid w:val="007D375C"/>
    <w:rsid w:val="007D51B3"/>
    <w:rsid w:val="007D559C"/>
    <w:rsid w:val="007D632A"/>
    <w:rsid w:val="007D7568"/>
    <w:rsid w:val="007D76F7"/>
    <w:rsid w:val="007E0337"/>
    <w:rsid w:val="007E15B7"/>
    <w:rsid w:val="007E183C"/>
    <w:rsid w:val="007E2BC1"/>
    <w:rsid w:val="007E2FF5"/>
    <w:rsid w:val="007E4B75"/>
    <w:rsid w:val="007E4C25"/>
    <w:rsid w:val="007E5157"/>
    <w:rsid w:val="007E6196"/>
    <w:rsid w:val="007E6240"/>
    <w:rsid w:val="007E69B5"/>
    <w:rsid w:val="007E6BED"/>
    <w:rsid w:val="007E7006"/>
    <w:rsid w:val="007E718D"/>
    <w:rsid w:val="007E7C7D"/>
    <w:rsid w:val="007F04F8"/>
    <w:rsid w:val="007F0A9D"/>
    <w:rsid w:val="007F18AB"/>
    <w:rsid w:val="007F22E1"/>
    <w:rsid w:val="007F2DAC"/>
    <w:rsid w:val="007F3B28"/>
    <w:rsid w:val="007F56B3"/>
    <w:rsid w:val="007F7C71"/>
    <w:rsid w:val="00804514"/>
    <w:rsid w:val="008046DD"/>
    <w:rsid w:val="00804AAB"/>
    <w:rsid w:val="008055AF"/>
    <w:rsid w:val="008109BB"/>
    <w:rsid w:val="00811514"/>
    <w:rsid w:val="00814ABC"/>
    <w:rsid w:val="008156C8"/>
    <w:rsid w:val="00815FA8"/>
    <w:rsid w:val="008168FB"/>
    <w:rsid w:val="00821117"/>
    <w:rsid w:val="00822853"/>
    <w:rsid w:val="008261E4"/>
    <w:rsid w:val="00826CF5"/>
    <w:rsid w:val="008301C8"/>
    <w:rsid w:val="00830E3E"/>
    <w:rsid w:val="00831871"/>
    <w:rsid w:val="008330B5"/>
    <w:rsid w:val="008337E8"/>
    <w:rsid w:val="00835864"/>
    <w:rsid w:val="008360E5"/>
    <w:rsid w:val="008405F9"/>
    <w:rsid w:val="008439BF"/>
    <w:rsid w:val="00844493"/>
    <w:rsid w:val="00844DEB"/>
    <w:rsid w:val="00845BA3"/>
    <w:rsid w:val="008464D8"/>
    <w:rsid w:val="00847228"/>
    <w:rsid w:val="008500E2"/>
    <w:rsid w:val="00851D4A"/>
    <w:rsid w:val="00852177"/>
    <w:rsid w:val="008523A2"/>
    <w:rsid w:val="008527E9"/>
    <w:rsid w:val="00852E64"/>
    <w:rsid w:val="00852EAD"/>
    <w:rsid w:val="00854787"/>
    <w:rsid w:val="00855CD2"/>
    <w:rsid w:val="00855E53"/>
    <w:rsid w:val="00856DDE"/>
    <w:rsid w:val="00857034"/>
    <w:rsid w:val="00857C0F"/>
    <w:rsid w:val="008614F1"/>
    <w:rsid w:val="00862116"/>
    <w:rsid w:val="008625AD"/>
    <w:rsid w:val="00862EF6"/>
    <w:rsid w:val="00862FF7"/>
    <w:rsid w:val="00863FC8"/>
    <w:rsid w:val="00864F91"/>
    <w:rsid w:val="0086516E"/>
    <w:rsid w:val="008670D8"/>
    <w:rsid w:val="00867F26"/>
    <w:rsid w:val="008701D3"/>
    <w:rsid w:val="00870373"/>
    <w:rsid w:val="00870CCD"/>
    <w:rsid w:val="0087410B"/>
    <w:rsid w:val="0087443D"/>
    <w:rsid w:val="008763B7"/>
    <w:rsid w:val="0087671B"/>
    <w:rsid w:val="0087708A"/>
    <w:rsid w:val="008808F0"/>
    <w:rsid w:val="008824D6"/>
    <w:rsid w:val="00884F98"/>
    <w:rsid w:val="00885C31"/>
    <w:rsid w:val="00885FAD"/>
    <w:rsid w:val="008878CF"/>
    <w:rsid w:val="00890086"/>
    <w:rsid w:val="00890BDE"/>
    <w:rsid w:val="00891D31"/>
    <w:rsid w:val="00896036"/>
    <w:rsid w:val="00897E91"/>
    <w:rsid w:val="008A14F7"/>
    <w:rsid w:val="008A1864"/>
    <w:rsid w:val="008A202B"/>
    <w:rsid w:val="008A22F4"/>
    <w:rsid w:val="008A2A85"/>
    <w:rsid w:val="008A5BE8"/>
    <w:rsid w:val="008A5E75"/>
    <w:rsid w:val="008A7DB6"/>
    <w:rsid w:val="008B01AA"/>
    <w:rsid w:val="008B1845"/>
    <w:rsid w:val="008B1CB0"/>
    <w:rsid w:val="008B1DDB"/>
    <w:rsid w:val="008B2753"/>
    <w:rsid w:val="008B317D"/>
    <w:rsid w:val="008B46D0"/>
    <w:rsid w:val="008B71DD"/>
    <w:rsid w:val="008B7B5A"/>
    <w:rsid w:val="008C083A"/>
    <w:rsid w:val="008C0D61"/>
    <w:rsid w:val="008C18DC"/>
    <w:rsid w:val="008C2050"/>
    <w:rsid w:val="008C2252"/>
    <w:rsid w:val="008C2331"/>
    <w:rsid w:val="008C2CC8"/>
    <w:rsid w:val="008C3DA9"/>
    <w:rsid w:val="008C3E23"/>
    <w:rsid w:val="008C3F4C"/>
    <w:rsid w:val="008C469C"/>
    <w:rsid w:val="008C4B2F"/>
    <w:rsid w:val="008D07CF"/>
    <w:rsid w:val="008D19D0"/>
    <w:rsid w:val="008D1FEB"/>
    <w:rsid w:val="008D392B"/>
    <w:rsid w:val="008D482E"/>
    <w:rsid w:val="008D4A30"/>
    <w:rsid w:val="008D58FD"/>
    <w:rsid w:val="008D62EB"/>
    <w:rsid w:val="008D63EE"/>
    <w:rsid w:val="008D7DE3"/>
    <w:rsid w:val="008E06E3"/>
    <w:rsid w:val="008E0A60"/>
    <w:rsid w:val="008E0EAB"/>
    <w:rsid w:val="008E10CE"/>
    <w:rsid w:val="008E313D"/>
    <w:rsid w:val="008E345C"/>
    <w:rsid w:val="008E5657"/>
    <w:rsid w:val="008E5B11"/>
    <w:rsid w:val="008E6A98"/>
    <w:rsid w:val="008E6B34"/>
    <w:rsid w:val="008F16CF"/>
    <w:rsid w:val="008F232D"/>
    <w:rsid w:val="008F51FF"/>
    <w:rsid w:val="008F52E2"/>
    <w:rsid w:val="008F5857"/>
    <w:rsid w:val="009007FB"/>
    <w:rsid w:val="0090088F"/>
    <w:rsid w:val="0090096D"/>
    <w:rsid w:val="00900C02"/>
    <w:rsid w:val="00900EA2"/>
    <w:rsid w:val="00901A5B"/>
    <w:rsid w:val="0090220A"/>
    <w:rsid w:val="009024E4"/>
    <w:rsid w:val="00903338"/>
    <w:rsid w:val="00903CCC"/>
    <w:rsid w:val="009045D6"/>
    <w:rsid w:val="009058C6"/>
    <w:rsid w:val="00906303"/>
    <w:rsid w:val="0090649E"/>
    <w:rsid w:val="00907FBF"/>
    <w:rsid w:val="0091064B"/>
    <w:rsid w:val="00915F27"/>
    <w:rsid w:val="009202AA"/>
    <w:rsid w:val="009202ED"/>
    <w:rsid w:val="0092061A"/>
    <w:rsid w:val="00920CC8"/>
    <w:rsid w:val="00920E6C"/>
    <w:rsid w:val="009231A0"/>
    <w:rsid w:val="00923245"/>
    <w:rsid w:val="00924311"/>
    <w:rsid w:val="009252D0"/>
    <w:rsid w:val="0092731B"/>
    <w:rsid w:val="00927B0B"/>
    <w:rsid w:val="00927CB7"/>
    <w:rsid w:val="00927E9A"/>
    <w:rsid w:val="0093040F"/>
    <w:rsid w:val="00931266"/>
    <w:rsid w:val="00932BBA"/>
    <w:rsid w:val="00933704"/>
    <w:rsid w:val="00933DEA"/>
    <w:rsid w:val="00933E27"/>
    <w:rsid w:val="00934585"/>
    <w:rsid w:val="009351A2"/>
    <w:rsid w:val="00935C05"/>
    <w:rsid w:val="00936221"/>
    <w:rsid w:val="00936C4E"/>
    <w:rsid w:val="00940B39"/>
    <w:rsid w:val="00940F80"/>
    <w:rsid w:val="009413CD"/>
    <w:rsid w:val="00941AEC"/>
    <w:rsid w:val="00941C68"/>
    <w:rsid w:val="0094211B"/>
    <w:rsid w:val="00942619"/>
    <w:rsid w:val="00944C6E"/>
    <w:rsid w:val="00946B63"/>
    <w:rsid w:val="0095008B"/>
    <w:rsid w:val="009515DF"/>
    <w:rsid w:val="0095417C"/>
    <w:rsid w:val="00954C17"/>
    <w:rsid w:val="00954CAE"/>
    <w:rsid w:val="00955AD6"/>
    <w:rsid w:val="00956214"/>
    <w:rsid w:val="0095721F"/>
    <w:rsid w:val="00957907"/>
    <w:rsid w:val="009607B0"/>
    <w:rsid w:val="00960E24"/>
    <w:rsid w:val="00961806"/>
    <w:rsid w:val="00961A90"/>
    <w:rsid w:val="00961E22"/>
    <w:rsid w:val="009640CD"/>
    <w:rsid w:val="0096460E"/>
    <w:rsid w:val="00965208"/>
    <w:rsid w:val="009654E1"/>
    <w:rsid w:val="009667D8"/>
    <w:rsid w:val="00967C88"/>
    <w:rsid w:val="00970F93"/>
    <w:rsid w:val="00971B19"/>
    <w:rsid w:val="00972EE6"/>
    <w:rsid w:val="009737DC"/>
    <w:rsid w:val="00973A0A"/>
    <w:rsid w:val="00973C99"/>
    <w:rsid w:val="00975218"/>
    <w:rsid w:val="009754D0"/>
    <w:rsid w:val="00975D00"/>
    <w:rsid w:val="0097632A"/>
    <w:rsid w:val="00980B8F"/>
    <w:rsid w:val="00980FCE"/>
    <w:rsid w:val="00981A18"/>
    <w:rsid w:val="00983C35"/>
    <w:rsid w:val="00983EAC"/>
    <w:rsid w:val="00984F51"/>
    <w:rsid w:val="00985937"/>
    <w:rsid w:val="0098607C"/>
    <w:rsid w:val="00991674"/>
    <w:rsid w:val="0099202E"/>
    <w:rsid w:val="00992149"/>
    <w:rsid w:val="00992DA4"/>
    <w:rsid w:val="00993401"/>
    <w:rsid w:val="00993D81"/>
    <w:rsid w:val="00993FB9"/>
    <w:rsid w:val="009946B8"/>
    <w:rsid w:val="00994BC2"/>
    <w:rsid w:val="00994CAA"/>
    <w:rsid w:val="009960EA"/>
    <w:rsid w:val="00997317"/>
    <w:rsid w:val="00997894"/>
    <w:rsid w:val="009A2148"/>
    <w:rsid w:val="009A611A"/>
    <w:rsid w:val="009A6579"/>
    <w:rsid w:val="009A6D12"/>
    <w:rsid w:val="009A7907"/>
    <w:rsid w:val="009A7D00"/>
    <w:rsid w:val="009A7DEF"/>
    <w:rsid w:val="009B0278"/>
    <w:rsid w:val="009B0663"/>
    <w:rsid w:val="009B28EE"/>
    <w:rsid w:val="009B35A5"/>
    <w:rsid w:val="009B3734"/>
    <w:rsid w:val="009B41A1"/>
    <w:rsid w:val="009B4CE7"/>
    <w:rsid w:val="009B52B3"/>
    <w:rsid w:val="009B6798"/>
    <w:rsid w:val="009B708E"/>
    <w:rsid w:val="009B7BA2"/>
    <w:rsid w:val="009B7BF4"/>
    <w:rsid w:val="009C0441"/>
    <w:rsid w:val="009C2172"/>
    <w:rsid w:val="009C25E6"/>
    <w:rsid w:val="009C270F"/>
    <w:rsid w:val="009C2C8F"/>
    <w:rsid w:val="009C4A6C"/>
    <w:rsid w:val="009C52DE"/>
    <w:rsid w:val="009C58E0"/>
    <w:rsid w:val="009C5961"/>
    <w:rsid w:val="009C6C18"/>
    <w:rsid w:val="009C74F4"/>
    <w:rsid w:val="009C7AF8"/>
    <w:rsid w:val="009D0CD9"/>
    <w:rsid w:val="009D0D0C"/>
    <w:rsid w:val="009D1085"/>
    <w:rsid w:val="009D133F"/>
    <w:rsid w:val="009D29FE"/>
    <w:rsid w:val="009D3310"/>
    <w:rsid w:val="009D438E"/>
    <w:rsid w:val="009D4771"/>
    <w:rsid w:val="009D4917"/>
    <w:rsid w:val="009D5F76"/>
    <w:rsid w:val="009D724C"/>
    <w:rsid w:val="009D72B3"/>
    <w:rsid w:val="009D72B5"/>
    <w:rsid w:val="009D7E00"/>
    <w:rsid w:val="009E0944"/>
    <w:rsid w:val="009E1A76"/>
    <w:rsid w:val="009E1C57"/>
    <w:rsid w:val="009E2301"/>
    <w:rsid w:val="009E34D4"/>
    <w:rsid w:val="009E3C71"/>
    <w:rsid w:val="009E3E29"/>
    <w:rsid w:val="009E494D"/>
    <w:rsid w:val="009E67D7"/>
    <w:rsid w:val="009E7308"/>
    <w:rsid w:val="009E745E"/>
    <w:rsid w:val="009F023D"/>
    <w:rsid w:val="009F04E1"/>
    <w:rsid w:val="009F15C7"/>
    <w:rsid w:val="009F281E"/>
    <w:rsid w:val="009F4E2E"/>
    <w:rsid w:val="009F4E8E"/>
    <w:rsid w:val="009F5CC8"/>
    <w:rsid w:val="009F5D4F"/>
    <w:rsid w:val="009F63F5"/>
    <w:rsid w:val="009F64C9"/>
    <w:rsid w:val="009F6AA4"/>
    <w:rsid w:val="009F6E1D"/>
    <w:rsid w:val="009F733C"/>
    <w:rsid w:val="009F758B"/>
    <w:rsid w:val="00A03AAE"/>
    <w:rsid w:val="00A046EC"/>
    <w:rsid w:val="00A05E8C"/>
    <w:rsid w:val="00A062E2"/>
    <w:rsid w:val="00A06AFA"/>
    <w:rsid w:val="00A10682"/>
    <w:rsid w:val="00A10A5D"/>
    <w:rsid w:val="00A10A8B"/>
    <w:rsid w:val="00A1148A"/>
    <w:rsid w:val="00A11570"/>
    <w:rsid w:val="00A11990"/>
    <w:rsid w:val="00A1225A"/>
    <w:rsid w:val="00A13206"/>
    <w:rsid w:val="00A13804"/>
    <w:rsid w:val="00A14033"/>
    <w:rsid w:val="00A163F3"/>
    <w:rsid w:val="00A1741A"/>
    <w:rsid w:val="00A17CB5"/>
    <w:rsid w:val="00A206E5"/>
    <w:rsid w:val="00A20D4E"/>
    <w:rsid w:val="00A214C4"/>
    <w:rsid w:val="00A22CF7"/>
    <w:rsid w:val="00A23518"/>
    <w:rsid w:val="00A26F30"/>
    <w:rsid w:val="00A27F0D"/>
    <w:rsid w:val="00A31A0D"/>
    <w:rsid w:val="00A3293F"/>
    <w:rsid w:val="00A3376A"/>
    <w:rsid w:val="00A354FF"/>
    <w:rsid w:val="00A3637B"/>
    <w:rsid w:val="00A37455"/>
    <w:rsid w:val="00A403FB"/>
    <w:rsid w:val="00A406A8"/>
    <w:rsid w:val="00A41558"/>
    <w:rsid w:val="00A422BF"/>
    <w:rsid w:val="00A434BD"/>
    <w:rsid w:val="00A44650"/>
    <w:rsid w:val="00A460CD"/>
    <w:rsid w:val="00A466D4"/>
    <w:rsid w:val="00A468C5"/>
    <w:rsid w:val="00A46A27"/>
    <w:rsid w:val="00A46EA3"/>
    <w:rsid w:val="00A538F1"/>
    <w:rsid w:val="00A577C9"/>
    <w:rsid w:val="00A62CF1"/>
    <w:rsid w:val="00A63994"/>
    <w:rsid w:val="00A63E14"/>
    <w:rsid w:val="00A65475"/>
    <w:rsid w:val="00A65D35"/>
    <w:rsid w:val="00A660E5"/>
    <w:rsid w:val="00A67F87"/>
    <w:rsid w:val="00A7023C"/>
    <w:rsid w:val="00A70933"/>
    <w:rsid w:val="00A711DD"/>
    <w:rsid w:val="00A71526"/>
    <w:rsid w:val="00A71B29"/>
    <w:rsid w:val="00A722AF"/>
    <w:rsid w:val="00A72A20"/>
    <w:rsid w:val="00A74C2E"/>
    <w:rsid w:val="00A75E13"/>
    <w:rsid w:val="00A7617B"/>
    <w:rsid w:val="00A82DA8"/>
    <w:rsid w:val="00A8404E"/>
    <w:rsid w:val="00A8601F"/>
    <w:rsid w:val="00A86242"/>
    <w:rsid w:val="00A8625B"/>
    <w:rsid w:val="00A87FB5"/>
    <w:rsid w:val="00A912D5"/>
    <w:rsid w:val="00A9241E"/>
    <w:rsid w:val="00A940DD"/>
    <w:rsid w:val="00A95478"/>
    <w:rsid w:val="00A95D72"/>
    <w:rsid w:val="00A977A1"/>
    <w:rsid w:val="00AA00B5"/>
    <w:rsid w:val="00AA0219"/>
    <w:rsid w:val="00AA2A61"/>
    <w:rsid w:val="00AA2B4D"/>
    <w:rsid w:val="00AA2E33"/>
    <w:rsid w:val="00AA2E7E"/>
    <w:rsid w:val="00AA32CA"/>
    <w:rsid w:val="00AA68F0"/>
    <w:rsid w:val="00AA6B9A"/>
    <w:rsid w:val="00AA6EB7"/>
    <w:rsid w:val="00AB04A2"/>
    <w:rsid w:val="00AB0552"/>
    <w:rsid w:val="00AB12F3"/>
    <w:rsid w:val="00AB2428"/>
    <w:rsid w:val="00AB2E35"/>
    <w:rsid w:val="00AB3B92"/>
    <w:rsid w:val="00AB4383"/>
    <w:rsid w:val="00AB4E99"/>
    <w:rsid w:val="00AB5391"/>
    <w:rsid w:val="00AB544C"/>
    <w:rsid w:val="00AB59EF"/>
    <w:rsid w:val="00AB5F4F"/>
    <w:rsid w:val="00AB61E3"/>
    <w:rsid w:val="00AB6866"/>
    <w:rsid w:val="00AB6D72"/>
    <w:rsid w:val="00AB7618"/>
    <w:rsid w:val="00AB7A47"/>
    <w:rsid w:val="00AC11DD"/>
    <w:rsid w:val="00AC1599"/>
    <w:rsid w:val="00AC1ADC"/>
    <w:rsid w:val="00AC1DF8"/>
    <w:rsid w:val="00AC2358"/>
    <w:rsid w:val="00AC25AA"/>
    <w:rsid w:val="00AC2AF0"/>
    <w:rsid w:val="00AC2B6F"/>
    <w:rsid w:val="00AC36DD"/>
    <w:rsid w:val="00AC40DA"/>
    <w:rsid w:val="00AC5276"/>
    <w:rsid w:val="00AC5713"/>
    <w:rsid w:val="00AC5D2A"/>
    <w:rsid w:val="00AC5EF2"/>
    <w:rsid w:val="00AC6219"/>
    <w:rsid w:val="00AC64DA"/>
    <w:rsid w:val="00AC69C8"/>
    <w:rsid w:val="00AC6E24"/>
    <w:rsid w:val="00AC7D7D"/>
    <w:rsid w:val="00AD01B9"/>
    <w:rsid w:val="00AD10B8"/>
    <w:rsid w:val="00AD23EC"/>
    <w:rsid w:val="00AD276B"/>
    <w:rsid w:val="00AD466D"/>
    <w:rsid w:val="00AD62CF"/>
    <w:rsid w:val="00AD77B9"/>
    <w:rsid w:val="00AD7DA3"/>
    <w:rsid w:val="00AE05B0"/>
    <w:rsid w:val="00AE06F9"/>
    <w:rsid w:val="00AE07D2"/>
    <w:rsid w:val="00AE1186"/>
    <w:rsid w:val="00AE3EC5"/>
    <w:rsid w:val="00AE4A78"/>
    <w:rsid w:val="00AE6583"/>
    <w:rsid w:val="00AF0885"/>
    <w:rsid w:val="00AF0C92"/>
    <w:rsid w:val="00AF14F4"/>
    <w:rsid w:val="00AF1742"/>
    <w:rsid w:val="00AF3841"/>
    <w:rsid w:val="00AF3DDE"/>
    <w:rsid w:val="00AF4781"/>
    <w:rsid w:val="00AF5A0E"/>
    <w:rsid w:val="00AF5A4F"/>
    <w:rsid w:val="00AF63C6"/>
    <w:rsid w:val="00AF7083"/>
    <w:rsid w:val="00AF7E8B"/>
    <w:rsid w:val="00B001C5"/>
    <w:rsid w:val="00B0264F"/>
    <w:rsid w:val="00B02700"/>
    <w:rsid w:val="00B0447D"/>
    <w:rsid w:val="00B05DD1"/>
    <w:rsid w:val="00B05FCD"/>
    <w:rsid w:val="00B06183"/>
    <w:rsid w:val="00B06378"/>
    <w:rsid w:val="00B06418"/>
    <w:rsid w:val="00B06A8F"/>
    <w:rsid w:val="00B07A55"/>
    <w:rsid w:val="00B1065F"/>
    <w:rsid w:val="00B10987"/>
    <w:rsid w:val="00B117C1"/>
    <w:rsid w:val="00B11824"/>
    <w:rsid w:val="00B14373"/>
    <w:rsid w:val="00B14680"/>
    <w:rsid w:val="00B1477F"/>
    <w:rsid w:val="00B15331"/>
    <w:rsid w:val="00B15DC4"/>
    <w:rsid w:val="00B1742B"/>
    <w:rsid w:val="00B207F2"/>
    <w:rsid w:val="00B20C19"/>
    <w:rsid w:val="00B21C8E"/>
    <w:rsid w:val="00B227F9"/>
    <w:rsid w:val="00B22D23"/>
    <w:rsid w:val="00B246D0"/>
    <w:rsid w:val="00B2709F"/>
    <w:rsid w:val="00B3192C"/>
    <w:rsid w:val="00B3395A"/>
    <w:rsid w:val="00B3487B"/>
    <w:rsid w:val="00B34899"/>
    <w:rsid w:val="00B3734E"/>
    <w:rsid w:val="00B40732"/>
    <w:rsid w:val="00B40835"/>
    <w:rsid w:val="00B41BBF"/>
    <w:rsid w:val="00B41C77"/>
    <w:rsid w:val="00B42509"/>
    <w:rsid w:val="00B4262D"/>
    <w:rsid w:val="00B43DD3"/>
    <w:rsid w:val="00B446A4"/>
    <w:rsid w:val="00B44E66"/>
    <w:rsid w:val="00B4603F"/>
    <w:rsid w:val="00B4673E"/>
    <w:rsid w:val="00B469CE"/>
    <w:rsid w:val="00B47079"/>
    <w:rsid w:val="00B47206"/>
    <w:rsid w:val="00B47B28"/>
    <w:rsid w:val="00B527B5"/>
    <w:rsid w:val="00B54E2D"/>
    <w:rsid w:val="00B557EA"/>
    <w:rsid w:val="00B55961"/>
    <w:rsid w:val="00B56542"/>
    <w:rsid w:val="00B6049A"/>
    <w:rsid w:val="00B60A04"/>
    <w:rsid w:val="00B614BC"/>
    <w:rsid w:val="00B61D1D"/>
    <w:rsid w:val="00B623C3"/>
    <w:rsid w:val="00B632FD"/>
    <w:rsid w:val="00B64221"/>
    <w:rsid w:val="00B666B1"/>
    <w:rsid w:val="00B7067F"/>
    <w:rsid w:val="00B70741"/>
    <w:rsid w:val="00B70D63"/>
    <w:rsid w:val="00B70D64"/>
    <w:rsid w:val="00B71490"/>
    <w:rsid w:val="00B722B9"/>
    <w:rsid w:val="00B729DC"/>
    <w:rsid w:val="00B731B8"/>
    <w:rsid w:val="00B7367F"/>
    <w:rsid w:val="00B73AC0"/>
    <w:rsid w:val="00B7475A"/>
    <w:rsid w:val="00B750A8"/>
    <w:rsid w:val="00B754FC"/>
    <w:rsid w:val="00B75DA1"/>
    <w:rsid w:val="00B7681F"/>
    <w:rsid w:val="00B772A4"/>
    <w:rsid w:val="00B82ECE"/>
    <w:rsid w:val="00B84FFD"/>
    <w:rsid w:val="00B855CC"/>
    <w:rsid w:val="00B85C00"/>
    <w:rsid w:val="00B87C56"/>
    <w:rsid w:val="00B90063"/>
    <w:rsid w:val="00B91581"/>
    <w:rsid w:val="00B93A3B"/>
    <w:rsid w:val="00B93B87"/>
    <w:rsid w:val="00B93BE8"/>
    <w:rsid w:val="00B94E08"/>
    <w:rsid w:val="00B950B7"/>
    <w:rsid w:val="00B95E1A"/>
    <w:rsid w:val="00B95ED3"/>
    <w:rsid w:val="00BA008C"/>
    <w:rsid w:val="00BA02E6"/>
    <w:rsid w:val="00BA047C"/>
    <w:rsid w:val="00BA1172"/>
    <w:rsid w:val="00BA1CDF"/>
    <w:rsid w:val="00BA1DCA"/>
    <w:rsid w:val="00BA2851"/>
    <w:rsid w:val="00BA3C06"/>
    <w:rsid w:val="00BA6CB3"/>
    <w:rsid w:val="00BA7112"/>
    <w:rsid w:val="00BA7E44"/>
    <w:rsid w:val="00BB0975"/>
    <w:rsid w:val="00BB0A57"/>
    <w:rsid w:val="00BB0E2B"/>
    <w:rsid w:val="00BB19F4"/>
    <w:rsid w:val="00BB1E26"/>
    <w:rsid w:val="00BB37B9"/>
    <w:rsid w:val="00BB4109"/>
    <w:rsid w:val="00BC01F3"/>
    <w:rsid w:val="00BC0305"/>
    <w:rsid w:val="00BC0998"/>
    <w:rsid w:val="00BC0CE4"/>
    <w:rsid w:val="00BC1AF7"/>
    <w:rsid w:val="00BC1FCD"/>
    <w:rsid w:val="00BC2259"/>
    <w:rsid w:val="00BC2B45"/>
    <w:rsid w:val="00BC2D55"/>
    <w:rsid w:val="00BD0CB6"/>
    <w:rsid w:val="00BD2705"/>
    <w:rsid w:val="00BD480D"/>
    <w:rsid w:val="00BD6132"/>
    <w:rsid w:val="00BD67FB"/>
    <w:rsid w:val="00BD76EF"/>
    <w:rsid w:val="00BD7EBF"/>
    <w:rsid w:val="00BE1055"/>
    <w:rsid w:val="00BE1651"/>
    <w:rsid w:val="00BE19A7"/>
    <w:rsid w:val="00BE2A66"/>
    <w:rsid w:val="00BE2BEC"/>
    <w:rsid w:val="00BE2FE5"/>
    <w:rsid w:val="00BE319B"/>
    <w:rsid w:val="00BE362C"/>
    <w:rsid w:val="00BE378E"/>
    <w:rsid w:val="00BE3C8A"/>
    <w:rsid w:val="00BE4224"/>
    <w:rsid w:val="00BE4E75"/>
    <w:rsid w:val="00BE4EA7"/>
    <w:rsid w:val="00BE53E1"/>
    <w:rsid w:val="00BE54A7"/>
    <w:rsid w:val="00BE5B96"/>
    <w:rsid w:val="00BE622A"/>
    <w:rsid w:val="00BE6364"/>
    <w:rsid w:val="00BE63F8"/>
    <w:rsid w:val="00BE6F6F"/>
    <w:rsid w:val="00BF106D"/>
    <w:rsid w:val="00BF26B1"/>
    <w:rsid w:val="00BF389C"/>
    <w:rsid w:val="00BF3A05"/>
    <w:rsid w:val="00BF6A84"/>
    <w:rsid w:val="00C0098C"/>
    <w:rsid w:val="00C00F1C"/>
    <w:rsid w:val="00C02013"/>
    <w:rsid w:val="00C030A2"/>
    <w:rsid w:val="00C0346D"/>
    <w:rsid w:val="00C052BB"/>
    <w:rsid w:val="00C05733"/>
    <w:rsid w:val="00C064C7"/>
    <w:rsid w:val="00C1043F"/>
    <w:rsid w:val="00C108E6"/>
    <w:rsid w:val="00C1148C"/>
    <w:rsid w:val="00C11981"/>
    <w:rsid w:val="00C12BCE"/>
    <w:rsid w:val="00C13A7A"/>
    <w:rsid w:val="00C16B87"/>
    <w:rsid w:val="00C16DC2"/>
    <w:rsid w:val="00C17031"/>
    <w:rsid w:val="00C17144"/>
    <w:rsid w:val="00C20F6A"/>
    <w:rsid w:val="00C21CE6"/>
    <w:rsid w:val="00C22C1E"/>
    <w:rsid w:val="00C24197"/>
    <w:rsid w:val="00C25E19"/>
    <w:rsid w:val="00C2601A"/>
    <w:rsid w:val="00C2686C"/>
    <w:rsid w:val="00C27712"/>
    <w:rsid w:val="00C304E0"/>
    <w:rsid w:val="00C31F1D"/>
    <w:rsid w:val="00C3266F"/>
    <w:rsid w:val="00C3291F"/>
    <w:rsid w:val="00C34A4F"/>
    <w:rsid w:val="00C35323"/>
    <w:rsid w:val="00C357F4"/>
    <w:rsid w:val="00C362F6"/>
    <w:rsid w:val="00C3768B"/>
    <w:rsid w:val="00C40AE3"/>
    <w:rsid w:val="00C4144E"/>
    <w:rsid w:val="00C4299B"/>
    <w:rsid w:val="00C42A09"/>
    <w:rsid w:val="00C4354B"/>
    <w:rsid w:val="00C435CB"/>
    <w:rsid w:val="00C45101"/>
    <w:rsid w:val="00C4653E"/>
    <w:rsid w:val="00C46584"/>
    <w:rsid w:val="00C50124"/>
    <w:rsid w:val="00C53FF4"/>
    <w:rsid w:val="00C55179"/>
    <w:rsid w:val="00C56E86"/>
    <w:rsid w:val="00C61369"/>
    <w:rsid w:val="00C61893"/>
    <w:rsid w:val="00C61B95"/>
    <w:rsid w:val="00C6250E"/>
    <w:rsid w:val="00C631EA"/>
    <w:rsid w:val="00C631F6"/>
    <w:rsid w:val="00C64ADA"/>
    <w:rsid w:val="00C6778E"/>
    <w:rsid w:val="00C712CE"/>
    <w:rsid w:val="00C72305"/>
    <w:rsid w:val="00C72E72"/>
    <w:rsid w:val="00C73F45"/>
    <w:rsid w:val="00C74137"/>
    <w:rsid w:val="00C74AA7"/>
    <w:rsid w:val="00C752FD"/>
    <w:rsid w:val="00C800B1"/>
    <w:rsid w:val="00C81BD1"/>
    <w:rsid w:val="00C83215"/>
    <w:rsid w:val="00C83393"/>
    <w:rsid w:val="00C84A87"/>
    <w:rsid w:val="00C87783"/>
    <w:rsid w:val="00C87B44"/>
    <w:rsid w:val="00C9207E"/>
    <w:rsid w:val="00C93593"/>
    <w:rsid w:val="00C93CFD"/>
    <w:rsid w:val="00C940BB"/>
    <w:rsid w:val="00C9457F"/>
    <w:rsid w:val="00C94582"/>
    <w:rsid w:val="00C9461A"/>
    <w:rsid w:val="00C95492"/>
    <w:rsid w:val="00C97761"/>
    <w:rsid w:val="00C97904"/>
    <w:rsid w:val="00C97DA5"/>
    <w:rsid w:val="00CA03FB"/>
    <w:rsid w:val="00CA13D2"/>
    <w:rsid w:val="00CA1FF3"/>
    <w:rsid w:val="00CA3275"/>
    <w:rsid w:val="00CA456B"/>
    <w:rsid w:val="00CA4A83"/>
    <w:rsid w:val="00CA5DDD"/>
    <w:rsid w:val="00CA6BC4"/>
    <w:rsid w:val="00CA734D"/>
    <w:rsid w:val="00CA7535"/>
    <w:rsid w:val="00CB0EED"/>
    <w:rsid w:val="00CB2575"/>
    <w:rsid w:val="00CB3403"/>
    <w:rsid w:val="00CB4437"/>
    <w:rsid w:val="00CB57AB"/>
    <w:rsid w:val="00CB673E"/>
    <w:rsid w:val="00CB6BF4"/>
    <w:rsid w:val="00CB6BFC"/>
    <w:rsid w:val="00CB73CC"/>
    <w:rsid w:val="00CC1C14"/>
    <w:rsid w:val="00CC2544"/>
    <w:rsid w:val="00CC2C6A"/>
    <w:rsid w:val="00CC2DE5"/>
    <w:rsid w:val="00CC333A"/>
    <w:rsid w:val="00CC3683"/>
    <w:rsid w:val="00CC4A25"/>
    <w:rsid w:val="00CC4CF0"/>
    <w:rsid w:val="00CC62E8"/>
    <w:rsid w:val="00CD17B1"/>
    <w:rsid w:val="00CD194D"/>
    <w:rsid w:val="00CD19D5"/>
    <w:rsid w:val="00CD19FD"/>
    <w:rsid w:val="00CD1D5D"/>
    <w:rsid w:val="00CD25C5"/>
    <w:rsid w:val="00CD29EA"/>
    <w:rsid w:val="00CD2B61"/>
    <w:rsid w:val="00CD30F6"/>
    <w:rsid w:val="00CD320C"/>
    <w:rsid w:val="00CD3480"/>
    <w:rsid w:val="00CD3CC7"/>
    <w:rsid w:val="00CD4A26"/>
    <w:rsid w:val="00CD4CFD"/>
    <w:rsid w:val="00CD5544"/>
    <w:rsid w:val="00CD6075"/>
    <w:rsid w:val="00CE0665"/>
    <w:rsid w:val="00CE0C8C"/>
    <w:rsid w:val="00CE0F0A"/>
    <w:rsid w:val="00CE12C6"/>
    <w:rsid w:val="00CE1995"/>
    <w:rsid w:val="00CE25C2"/>
    <w:rsid w:val="00CE2630"/>
    <w:rsid w:val="00CE2F3F"/>
    <w:rsid w:val="00CE414B"/>
    <w:rsid w:val="00CE435A"/>
    <w:rsid w:val="00CE6126"/>
    <w:rsid w:val="00CE61D8"/>
    <w:rsid w:val="00CE7A34"/>
    <w:rsid w:val="00CE7EC6"/>
    <w:rsid w:val="00CF34F9"/>
    <w:rsid w:val="00CF52E3"/>
    <w:rsid w:val="00CF611A"/>
    <w:rsid w:val="00CF6C4A"/>
    <w:rsid w:val="00CF71D0"/>
    <w:rsid w:val="00CF72A9"/>
    <w:rsid w:val="00CF7F9A"/>
    <w:rsid w:val="00D02F7B"/>
    <w:rsid w:val="00D04B6B"/>
    <w:rsid w:val="00D05954"/>
    <w:rsid w:val="00D05A94"/>
    <w:rsid w:val="00D067E6"/>
    <w:rsid w:val="00D12C5D"/>
    <w:rsid w:val="00D1435B"/>
    <w:rsid w:val="00D14895"/>
    <w:rsid w:val="00D15AAA"/>
    <w:rsid w:val="00D162C6"/>
    <w:rsid w:val="00D17418"/>
    <w:rsid w:val="00D20B53"/>
    <w:rsid w:val="00D20E35"/>
    <w:rsid w:val="00D20E69"/>
    <w:rsid w:val="00D20F50"/>
    <w:rsid w:val="00D2173A"/>
    <w:rsid w:val="00D21ECE"/>
    <w:rsid w:val="00D264AC"/>
    <w:rsid w:val="00D2659B"/>
    <w:rsid w:val="00D27066"/>
    <w:rsid w:val="00D2752B"/>
    <w:rsid w:val="00D30523"/>
    <w:rsid w:val="00D305DA"/>
    <w:rsid w:val="00D31556"/>
    <w:rsid w:val="00D31F0C"/>
    <w:rsid w:val="00D3421E"/>
    <w:rsid w:val="00D35CA1"/>
    <w:rsid w:val="00D369CD"/>
    <w:rsid w:val="00D37D68"/>
    <w:rsid w:val="00D40034"/>
    <w:rsid w:val="00D402C4"/>
    <w:rsid w:val="00D406D0"/>
    <w:rsid w:val="00D40C21"/>
    <w:rsid w:val="00D4416F"/>
    <w:rsid w:val="00D443EE"/>
    <w:rsid w:val="00D4543B"/>
    <w:rsid w:val="00D45E31"/>
    <w:rsid w:val="00D50DF0"/>
    <w:rsid w:val="00D54D05"/>
    <w:rsid w:val="00D56567"/>
    <w:rsid w:val="00D565E9"/>
    <w:rsid w:val="00D6043B"/>
    <w:rsid w:val="00D60A93"/>
    <w:rsid w:val="00D60BDB"/>
    <w:rsid w:val="00D60D41"/>
    <w:rsid w:val="00D61EF2"/>
    <w:rsid w:val="00D634D2"/>
    <w:rsid w:val="00D63836"/>
    <w:rsid w:val="00D638BA"/>
    <w:rsid w:val="00D63A22"/>
    <w:rsid w:val="00D64C67"/>
    <w:rsid w:val="00D665C2"/>
    <w:rsid w:val="00D67822"/>
    <w:rsid w:val="00D70572"/>
    <w:rsid w:val="00D73189"/>
    <w:rsid w:val="00D738B8"/>
    <w:rsid w:val="00D761DF"/>
    <w:rsid w:val="00D77B77"/>
    <w:rsid w:val="00D80190"/>
    <w:rsid w:val="00D80B41"/>
    <w:rsid w:val="00D81549"/>
    <w:rsid w:val="00D81C24"/>
    <w:rsid w:val="00D8298D"/>
    <w:rsid w:val="00D82C9D"/>
    <w:rsid w:val="00D8483F"/>
    <w:rsid w:val="00D8600A"/>
    <w:rsid w:val="00D873BB"/>
    <w:rsid w:val="00D8751A"/>
    <w:rsid w:val="00D878B9"/>
    <w:rsid w:val="00D903A7"/>
    <w:rsid w:val="00D91847"/>
    <w:rsid w:val="00D91DFA"/>
    <w:rsid w:val="00D92A92"/>
    <w:rsid w:val="00D92F3A"/>
    <w:rsid w:val="00D93CF4"/>
    <w:rsid w:val="00D93D64"/>
    <w:rsid w:val="00D94183"/>
    <w:rsid w:val="00D95702"/>
    <w:rsid w:val="00D963EE"/>
    <w:rsid w:val="00D96E3A"/>
    <w:rsid w:val="00D97ED7"/>
    <w:rsid w:val="00DA0009"/>
    <w:rsid w:val="00DA0CF1"/>
    <w:rsid w:val="00DA120C"/>
    <w:rsid w:val="00DA3805"/>
    <w:rsid w:val="00DA58B2"/>
    <w:rsid w:val="00DA5D74"/>
    <w:rsid w:val="00DA6F96"/>
    <w:rsid w:val="00DA7BF8"/>
    <w:rsid w:val="00DA7D1D"/>
    <w:rsid w:val="00DB1601"/>
    <w:rsid w:val="00DB19E4"/>
    <w:rsid w:val="00DB272F"/>
    <w:rsid w:val="00DB2C8A"/>
    <w:rsid w:val="00DB333F"/>
    <w:rsid w:val="00DB5330"/>
    <w:rsid w:val="00DB6F87"/>
    <w:rsid w:val="00DB7A1A"/>
    <w:rsid w:val="00DB7D21"/>
    <w:rsid w:val="00DB7EE6"/>
    <w:rsid w:val="00DC2CA4"/>
    <w:rsid w:val="00DC4922"/>
    <w:rsid w:val="00DC6900"/>
    <w:rsid w:val="00DC715F"/>
    <w:rsid w:val="00DD0657"/>
    <w:rsid w:val="00DD1562"/>
    <w:rsid w:val="00DD175A"/>
    <w:rsid w:val="00DD2BD7"/>
    <w:rsid w:val="00DD425A"/>
    <w:rsid w:val="00DD45F3"/>
    <w:rsid w:val="00DD6B05"/>
    <w:rsid w:val="00DD6F59"/>
    <w:rsid w:val="00DE0610"/>
    <w:rsid w:val="00DE0CCE"/>
    <w:rsid w:val="00DE1671"/>
    <w:rsid w:val="00DE38FB"/>
    <w:rsid w:val="00DE3FB6"/>
    <w:rsid w:val="00DE5B91"/>
    <w:rsid w:val="00DE5FA4"/>
    <w:rsid w:val="00DF2893"/>
    <w:rsid w:val="00DF342C"/>
    <w:rsid w:val="00DF4CC2"/>
    <w:rsid w:val="00DF5531"/>
    <w:rsid w:val="00DF59B4"/>
    <w:rsid w:val="00DF62F5"/>
    <w:rsid w:val="00DF66D0"/>
    <w:rsid w:val="00DF7284"/>
    <w:rsid w:val="00DF7C1D"/>
    <w:rsid w:val="00E01063"/>
    <w:rsid w:val="00E013AD"/>
    <w:rsid w:val="00E01C91"/>
    <w:rsid w:val="00E021FA"/>
    <w:rsid w:val="00E029BB"/>
    <w:rsid w:val="00E06797"/>
    <w:rsid w:val="00E0712F"/>
    <w:rsid w:val="00E072BB"/>
    <w:rsid w:val="00E103BC"/>
    <w:rsid w:val="00E10758"/>
    <w:rsid w:val="00E1178A"/>
    <w:rsid w:val="00E120D9"/>
    <w:rsid w:val="00E12EA3"/>
    <w:rsid w:val="00E13401"/>
    <w:rsid w:val="00E13BC7"/>
    <w:rsid w:val="00E14D55"/>
    <w:rsid w:val="00E15005"/>
    <w:rsid w:val="00E15122"/>
    <w:rsid w:val="00E15257"/>
    <w:rsid w:val="00E161ED"/>
    <w:rsid w:val="00E1662F"/>
    <w:rsid w:val="00E17B6A"/>
    <w:rsid w:val="00E17CEB"/>
    <w:rsid w:val="00E21667"/>
    <w:rsid w:val="00E216FE"/>
    <w:rsid w:val="00E21A4E"/>
    <w:rsid w:val="00E22AA5"/>
    <w:rsid w:val="00E22B03"/>
    <w:rsid w:val="00E22E2C"/>
    <w:rsid w:val="00E247CF"/>
    <w:rsid w:val="00E25090"/>
    <w:rsid w:val="00E26EC4"/>
    <w:rsid w:val="00E26F0B"/>
    <w:rsid w:val="00E2743D"/>
    <w:rsid w:val="00E35E07"/>
    <w:rsid w:val="00E363B1"/>
    <w:rsid w:val="00E44BC8"/>
    <w:rsid w:val="00E45347"/>
    <w:rsid w:val="00E45648"/>
    <w:rsid w:val="00E45931"/>
    <w:rsid w:val="00E46D81"/>
    <w:rsid w:val="00E474B9"/>
    <w:rsid w:val="00E51D0A"/>
    <w:rsid w:val="00E52FFF"/>
    <w:rsid w:val="00E5396A"/>
    <w:rsid w:val="00E53D6E"/>
    <w:rsid w:val="00E55519"/>
    <w:rsid w:val="00E555E4"/>
    <w:rsid w:val="00E55858"/>
    <w:rsid w:val="00E5593A"/>
    <w:rsid w:val="00E574F3"/>
    <w:rsid w:val="00E6025C"/>
    <w:rsid w:val="00E60C92"/>
    <w:rsid w:val="00E6190D"/>
    <w:rsid w:val="00E63981"/>
    <w:rsid w:val="00E64934"/>
    <w:rsid w:val="00E649A8"/>
    <w:rsid w:val="00E66C2B"/>
    <w:rsid w:val="00E66F7B"/>
    <w:rsid w:val="00E73183"/>
    <w:rsid w:val="00E73B0B"/>
    <w:rsid w:val="00E7451B"/>
    <w:rsid w:val="00E74607"/>
    <w:rsid w:val="00E7579B"/>
    <w:rsid w:val="00E75BC4"/>
    <w:rsid w:val="00E75F0A"/>
    <w:rsid w:val="00E7634B"/>
    <w:rsid w:val="00E768E5"/>
    <w:rsid w:val="00E777C2"/>
    <w:rsid w:val="00E779D3"/>
    <w:rsid w:val="00E77B5A"/>
    <w:rsid w:val="00E77DFA"/>
    <w:rsid w:val="00E81025"/>
    <w:rsid w:val="00E81F60"/>
    <w:rsid w:val="00E82FCB"/>
    <w:rsid w:val="00E8331F"/>
    <w:rsid w:val="00E8415C"/>
    <w:rsid w:val="00E847F3"/>
    <w:rsid w:val="00E852BF"/>
    <w:rsid w:val="00E869DF"/>
    <w:rsid w:val="00E879F0"/>
    <w:rsid w:val="00E90CC4"/>
    <w:rsid w:val="00E9184B"/>
    <w:rsid w:val="00E91A45"/>
    <w:rsid w:val="00E91C02"/>
    <w:rsid w:val="00E9292B"/>
    <w:rsid w:val="00E93436"/>
    <w:rsid w:val="00E93682"/>
    <w:rsid w:val="00E9375A"/>
    <w:rsid w:val="00E95742"/>
    <w:rsid w:val="00E9603F"/>
    <w:rsid w:val="00E9776D"/>
    <w:rsid w:val="00EA17D5"/>
    <w:rsid w:val="00EA1CB7"/>
    <w:rsid w:val="00EA239E"/>
    <w:rsid w:val="00EA352A"/>
    <w:rsid w:val="00EA5758"/>
    <w:rsid w:val="00EA68EA"/>
    <w:rsid w:val="00EA7EAF"/>
    <w:rsid w:val="00EB0B75"/>
    <w:rsid w:val="00EB2437"/>
    <w:rsid w:val="00EB32FE"/>
    <w:rsid w:val="00EB3502"/>
    <w:rsid w:val="00EB5BEF"/>
    <w:rsid w:val="00EB60C1"/>
    <w:rsid w:val="00EB6663"/>
    <w:rsid w:val="00EB6A86"/>
    <w:rsid w:val="00EC0475"/>
    <w:rsid w:val="00EC1B0F"/>
    <w:rsid w:val="00EC29FF"/>
    <w:rsid w:val="00EC428E"/>
    <w:rsid w:val="00EC42EB"/>
    <w:rsid w:val="00EC52A1"/>
    <w:rsid w:val="00EC67B6"/>
    <w:rsid w:val="00EC6E15"/>
    <w:rsid w:val="00ED0E51"/>
    <w:rsid w:val="00ED104D"/>
    <w:rsid w:val="00ED111E"/>
    <w:rsid w:val="00ED2607"/>
    <w:rsid w:val="00ED2665"/>
    <w:rsid w:val="00ED2D6A"/>
    <w:rsid w:val="00ED42DD"/>
    <w:rsid w:val="00ED48AC"/>
    <w:rsid w:val="00ED4F77"/>
    <w:rsid w:val="00ED582D"/>
    <w:rsid w:val="00ED7A29"/>
    <w:rsid w:val="00ED7A2C"/>
    <w:rsid w:val="00EE179A"/>
    <w:rsid w:val="00EE1B9E"/>
    <w:rsid w:val="00EE1D22"/>
    <w:rsid w:val="00EE20B0"/>
    <w:rsid w:val="00EE3B0D"/>
    <w:rsid w:val="00EE4306"/>
    <w:rsid w:val="00EE52B7"/>
    <w:rsid w:val="00EE7134"/>
    <w:rsid w:val="00EE71B4"/>
    <w:rsid w:val="00EE7A01"/>
    <w:rsid w:val="00EF0B8E"/>
    <w:rsid w:val="00EF1F91"/>
    <w:rsid w:val="00EF2580"/>
    <w:rsid w:val="00EF2D3B"/>
    <w:rsid w:val="00EF4652"/>
    <w:rsid w:val="00EF47DD"/>
    <w:rsid w:val="00EF5101"/>
    <w:rsid w:val="00EF61B4"/>
    <w:rsid w:val="00EF6DA3"/>
    <w:rsid w:val="00EF7124"/>
    <w:rsid w:val="00EF7780"/>
    <w:rsid w:val="00EF778C"/>
    <w:rsid w:val="00EF7BD5"/>
    <w:rsid w:val="00F030B7"/>
    <w:rsid w:val="00F03B95"/>
    <w:rsid w:val="00F0417F"/>
    <w:rsid w:val="00F04851"/>
    <w:rsid w:val="00F04C00"/>
    <w:rsid w:val="00F055DC"/>
    <w:rsid w:val="00F07BDD"/>
    <w:rsid w:val="00F10F8C"/>
    <w:rsid w:val="00F116EE"/>
    <w:rsid w:val="00F1178B"/>
    <w:rsid w:val="00F15602"/>
    <w:rsid w:val="00F15F6D"/>
    <w:rsid w:val="00F17999"/>
    <w:rsid w:val="00F205CD"/>
    <w:rsid w:val="00F20999"/>
    <w:rsid w:val="00F20C74"/>
    <w:rsid w:val="00F222B6"/>
    <w:rsid w:val="00F22CDD"/>
    <w:rsid w:val="00F26B1C"/>
    <w:rsid w:val="00F27897"/>
    <w:rsid w:val="00F30103"/>
    <w:rsid w:val="00F3097C"/>
    <w:rsid w:val="00F32350"/>
    <w:rsid w:val="00F336AB"/>
    <w:rsid w:val="00F3484F"/>
    <w:rsid w:val="00F36DDA"/>
    <w:rsid w:val="00F375E9"/>
    <w:rsid w:val="00F405F4"/>
    <w:rsid w:val="00F42C9D"/>
    <w:rsid w:val="00F42FD0"/>
    <w:rsid w:val="00F431AA"/>
    <w:rsid w:val="00F43772"/>
    <w:rsid w:val="00F45098"/>
    <w:rsid w:val="00F451E6"/>
    <w:rsid w:val="00F50461"/>
    <w:rsid w:val="00F5119D"/>
    <w:rsid w:val="00F521DF"/>
    <w:rsid w:val="00F538ED"/>
    <w:rsid w:val="00F53DED"/>
    <w:rsid w:val="00F5446E"/>
    <w:rsid w:val="00F55446"/>
    <w:rsid w:val="00F55D21"/>
    <w:rsid w:val="00F613F2"/>
    <w:rsid w:val="00F62A5B"/>
    <w:rsid w:val="00F6463A"/>
    <w:rsid w:val="00F64C58"/>
    <w:rsid w:val="00F6703A"/>
    <w:rsid w:val="00F677C5"/>
    <w:rsid w:val="00F67E09"/>
    <w:rsid w:val="00F708E8"/>
    <w:rsid w:val="00F71C41"/>
    <w:rsid w:val="00F7287F"/>
    <w:rsid w:val="00F72ACA"/>
    <w:rsid w:val="00F73B8C"/>
    <w:rsid w:val="00F74314"/>
    <w:rsid w:val="00F745D4"/>
    <w:rsid w:val="00F74B2F"/>
    <w:rsid w:val="00F7560A"/>
    <w:rsid w:val="00F77CEF"/>
    <w:rsid w:val="00F81907"/>
    <w:rsid w:val="00F81F51"/>
    <w:rsid w:val="00F8308C"/>
    <w:rsid w:val="00F83161"/>
    <w:rsid w:val="00F83D16"/>
    <w:rsid w:val="00F84501"/>
    <w:rsid w:val="00F84E22"/>
    <w:rsid w:val="00F8665D"/>
    <w:rsid w:val="00F87E54"/>
    <w:rsid w:val="00F90EA1"/>
    <w:rsid w:val="00F91F7D"/>
    <w:rsid w:val="00F92B3E"/>
    <w:rsid w:val="00F94CEB"/>
    <w:rsid w:val="00F95F3D"/>
    <w:rsid w:val="00F9631D"/>
    <w:rsid w:val="00F96CDC"/>
    <w:rsid w:val="00F96DC3"/>
    <w:rsid w:val="00F9783A"/>
    <w:rsid w:val="00FA0418"/>
    <w:rsid w:val="00FA3205"/>
    <w:rsid w:val="00FA3BD4"/>
    <w:rsid w:val="00FA408F"/>
    <w:rsid w:val="00FA4FFE"/>
    <w:rsid w:val="00FA5EE4"/>
    <w:rsid w:val="00FA630F"/>
    <w:rsid w:val="00FA658C"/>
    <w:rsid w:val="00FA695C"/>
    <w:rsid w:val="00FA791A"/>
    <w:rsid w:val="00FB19E5"/>
    <w:rsid w:val="00FB1DCF"/>
    <w:rsid w:val="00FB2F9B"/>
    <w:rsid w:val="00FB36DD"/>
    <w:rsid w:val="00FB3716"/>
    <w:rsid w:val="00FB6FFD"/>
    <w:rsid w:val="00FC02B2"/>
    <w:rsid w:val="00FC1ED5"/>
    <w:rsid w:val="00FC2151"/>
    <w:rsid w:val="00FC4612"/>
    <w:rsid w:val="00FC7284"/>
    <w:rsid w:val="00FD1BDE"/>
    <w:rsid w:val="00FD2DD3"/>
    <w:rsid w:val="00FD3DC9"/>
    <w:rsid w:val="00FD3E4B"/>
    <w:rsid w:val="00FD401A"/>
    <w:rsid w:val="00FD4A22"/>
    <w:rsid w:val="00FD53A3"/>
    <w:rsid w:val="00FD5C19"/>
    <w:rsid w:val="00FD6931"/>
    <w:rsid w:val="00FD6C43"/>
    <w:rsid w:val="00FD7319"/>
    <w:rsid w:val="00FD7425"/>
    <w:rsid w:val="00FD7F97"/>
    <w:rsid w:val="00FE05F7"/>
    <w:rsid w:val="00FE208F"/>
    <w:rsid w:val="00FE29E6"/>
    <w:rsid w:val="00FE2E74"/>
    <w:rsid w:val="00FE2EAF"/>
    <w:rsid w:val="00FE33B6"/>
    <w:rsid w:val="00FE3D32"/>
    <w:rsid w:val="00FE5C2E"/>
    <w:rsid w:val="00FE6429"/>
    <w:rsid w:val="00FF1031"/>
    <w:rsid w:val="00FF18A8"/>
    <w:rsid w:val="00FF26AD"/>
    <w:rsid w:val="00FF3586"/>
    <w:rsid w:val="00FF3DFC"/>
    <w:rsid w:val="00FF5402"/>
    <w:rsid w:val="00FF56AA"/>
    <w:rsid w:val="00FF6330"/>
    <w:rsid w:val="00FF6EDF"/>
    <w:rsid w:val="00FF7D7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61928"/>
    </o:shapedefaults>
    <o:shapelayout v:ext="edit">
      <o:idmap v:ext="edit" data="1"/>
    </o:shapelayout>
  </w:shapeDefaults>
  <w:decimalSymbol w:val=","/>
  <w:listSeparator w:val=";"/>
  <w14:docId w14:val="557A0476"/>
  <w15:docId w15:val="{F0AD4B04-D31E-438B-B677-1BF8DE57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4E22"/>
    <w:pPr>
      <w:spacing w:after="100"/>
    </w:pPr>
    <w:rPr>
      <w:sz w:val="24"/>
    </w:rPr>
  </w:style>
  <w:style w:type="paragraph" w:styleId="Nagwek1">
    <w:name w:val="heading 1"/>
    <w:basedOn w:val="Normalny"/>
    <w:next w:val="Normalny"/>
    <w:link w:val="Nagwek1Znak"/>
    <w:uiPriority w:val="9"/>
    <w:qFormat/>
    <w:rsid w:val="0046269D"/>
    <w:pPr>
      <w:pageBreakBefore/>
      <w:numPr>
        <w:numId w:val="1"/>
      </w:numPr>
      <w:pBdr>
        <w:bottom w:val="single" w:sz="18" w:space="1" w:color="B61928" w:themeColor="text2"/>
      </w:pBdr>
      <w:shd w:val="clear" w:color="auto" w:fill="FFFFFF" w:themeFill="background1"/>
      <w:tabs>
        <w:tab w:val="left" w:pos="426"/>
      </w:tabs>
      <w:spacing w:before="400" w:after="200"/>
      <w:ind w:left="0" w:firstLine="0"/>
      <w:outlineLvl w:val="0"/>
    </w:pPr>
    <w:rPr>
      <w:b/>
      <w:color w:val="B61928" w:themeColor="text2"/>
      <w:spacing w:val="15"/>
      <w:sz w:val="36"/>
      <w:szCs w:val="36"/>
    </w:rPr>
  </w:style>
  <w:style w:type="paragraph" w:styleId="Nagwek2">
    <w:name w:val="heading 2"/>
    <w:basedOn w:val="Normalny"/>
    <w:next w:val="Normalny"/>
    <w:link w:val="Nagwek2Znak"/>
    <w:uiPriority w:val="9"/>
    <w:unhideWhenUsed/>
    <w:qFormat/>
    <w:rsid w:val="0046269D"/>
    <w:pPr>
      <w:numPr>
        <w:ilvl w:val="1"/>
        <w:numId w:val="1"/>
      </w:numPr>
      <w:pBdr>
        <w:bottom w:val="single" w:sz="12" w:space="1" w:color="0C7492" w:themeColor="accent5"/>
      </w:pBdr>
      <w:shd w:val="clear" w:color="auto" w:fill="FFFFFF" w:themeFill="background1"/>
      <w:spacing w:before="200"/>
      <w:ind w:left="0" w:firstLine="0"/>
      <w:outlineLvl w:val="1"/>
    </w:pPr>
    <w:rPr>
      <w:b/>
      <w:color w:val="0C7492" w:themeColor="accent5"/>
      <w:spacing w:val="15"/>
      <w:sz w:val="28"/>
      <w:szCs w:val="22"/>
    </w:rPr>
  </w:style>
  <w:style w:type="paragraph" w:styleId="Nagwek3">
    <w:name w:val="heading 3"/>
    <w:basedOn w:val="Normalny"/>
    <w:next w:val="Normalny"/>
    <w:link w:val="Nagwek3Znak"/>
    <w:uiPriority w:val="9"/>
    <w:unhideWhenUsed/>
    <w:qFormat/>
    <w:rsid w:val="0046269D"/>
    <w:pPr>
      <w:numPr>
        <w:ilvl w:val="2"/>
        <w:numId w:val="1"/>
      </w:numPr>
      <w:pBdr>
        <w:top w:val="single" w:sz="6" w:space="2" w:color="B61928" w:themeColor="accent1"/>
      </w:pBdr>
      <w:spacing w:before="200"/>
      <w:ind w:left="0" w:firstLine="0"/>
      <w:outlineLvl w:val="2"/>
    </w:pPr>
    <w:rPr>
      <w:b/>
      <w:spacing w:val="15"/>
    </w:rPr>
  </w:style>
  <w:style w:type="paragraph" w:styleId="Nagwek4">
    <w:name w:val="heading 4"/>
    <w:basedOn w:val="Normalny"/>
    <w:next w:val="Normalny"/>
    <w:link w:val="Nagwek4Znak"/>
    <w:uiPriority w:val="9"/>
    <w:unhideWhenUsed/>
    <w:qFormat/>
    <w:rsid w:val="0046269D"/>
    <w:pPr>
      <w:pBdr>
        <w:top w:val="dotted" w:sz="6" w:space="2" w:color="B61928" w:themeColor="accent1"/>
      </w:pBdr>
      <w:spacing w:before="200"/>
      <w:outlineLvl w:val="3"/>
    </w:pPr>
    <w:rPr>
      <w:b/>
      <w:bCs/>
      <w:color w:val="88121D" w:themeColor="accent1" w:themeShade="BF"/>
      <w:spacing w:val="10"/>
    </w:rPr>
  </w:style>
  <w:style w:type="paragraph" w:styleId="Nagwek5">
    <w:name w:val="heading 5"/>
    <w:basedOn w:val="Normalny"/>
    <w:next w:val="Normalny"/>
    <w:link w:val="Nagwek5Znak"/>
    <w:uiPriority w:val="9"/>
    <w:unhideWhenUsed/>
    <w:qFormat/>
    <w:rsid w:val="00696242"/>
    <w:pPr>
      <w:pBdr>
        <w:bottom w:val="single" w:sz="6" w:space="1" w:color="B61928" w:themeColor="accent1"/>
      </w:pBdr>
      <w:spacing w:before="200" w:after="0"/>
      <w:outlineLvl w:val="4"/>
    </w:pPr>
    <w:rPr>
      <w:caps/>
      <w:color w:val="88121D" w:themeColor="accent1" w:themeShade="BF"/>
      <w:spacing w:val="10"/>
    </w:rPr>
  </w:style>
  <w:style w:type="paragraph" w:styleId="Nagwek6">
    <w:name w:val="heading 6"/>
    <w:basedOn w:val="Normalny"/>
    <w:next w:val="Normalny"/>
    <w:link w:val="Nagwek6Znak"/>
    <w:uiPriority w:val="9"/>
    <w:unhideWhenUsed/>
    <w:qFormat/>
    <w:rsid w:val="00696242"/>
    <w:pPr>
      <w:pBdr>
        <w:bottom w:val="dotted" w:sz="6" w:space="1" w:color="B61928" w:themeColor="accent1"/>
      </w:pBdr>
      <w:spacing w:before="200" w:after="0"/>
      <w:outlineLvl w:val="5"/>
    </w:pPr>
    <w:rPr>
      <w:caps/>
      <w:color w:val="88121D" w:themeColor="accent1" w:themeShade="BF"/>
      <w:spacing w:val="10"/>
    </w:rPr>
  </w:style>
  <w:style w:type="paragraph" w:styleId="Nagwek7">
    <w:name w:val="heading 7"/>
    <w:basedOn w:val="Normalny"/>
    <w:next w:val="Normalny"/>
    <w:link w:val="Nagwek7Znak"/>
    <w:uiPriority w:val="9"/>
    <w:unhideWhenUsed/>
    <w:qFormat/>
    <w:rsid w:val="00696242"/>
    <w:pPr>
      <w:spacing w:before="200" w:after="0"/>
      <w:outlineLvl w:val="6"/>
    </w:pPr>
    <w:rPr>
      <w:caps/>
      <w:color w:val="88121D" w:themeColor="accent1" w:themeShade="BF"/>
      <w:spacing w:val="10"/>
    </w:rPr>
  </w:style>
  <w:style w:type="paragraph" w:styleId="Nagwek8">
    <w:name w:val="heading 8"/>
    <w:basedOn w:val="Normalny"/>
    <w:next w:val="Normalny"/>
    <w:link w:val="Nagwek8Znak"/>
    <w:uiPriority w:val="9"/>
    <w:unhideWhenUsed/>
    <w:qFormat/>
    <w:rsid w:val="00696242"/>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696242"/>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269D"/>
    <w:rPr>
      <w:b/>
      <w:color w:val="B61928" w:themeColor="text2"/>
      <w:spacing w:val="15"/>
      <w:sz w:val="36"/>
      <w:szCs w:val="36"/>
      <w:shd w:val="clear" w:color="auto" w:fill="FFFFFF" w:themeFill="background1"/>
    </w:rPr>
  </w:style>
  <w:style w:type="character" w:customStyle="1" w:styleId="Nagwek2Znak">
    <w:name w:val="Nagłówek 2 Znak"/>
    <w:basedOn w:val="Domylnaczcionkaakapitu"/>
    <w:link w:val="Nagwek2"/>
    <w:uiPriority w:val="9"/>
    <w:rsid w:val="0046269D"/>
    <w:rPr>
      <w:b/>
      <w:color w:val="0C7492" w:themeColor="accent5"/>
      <w:spacing w:val="15"/>
      <w:sz w:val="28"/>
      <w:szCs w:val="22"/>
      <w:shd w:val="clear" w:color="auto" w:fill="FFFFFF" w:themeFill="background1"/>
    </w:rPr>
  </w:style>
  <w:style w:type="character" w:customStyle="1" w:styleId="Nagwek3Znak">
    <w:name w:val="Nagłówek 3 Znak"/>
    <w:basedOn w:val="Domylnaczcionkaakapitu"/>
    <w:link w:val="Nagwek3"/>
    <w:uiPriority w:val="9"/>
    <w:rsid w:val="0046269D"/>
    <w:rPr>
      <w:b/>
      <w:spacing w:val="15"/>
      <w:sz w:val="24"/>
    </w:rPr>
  </w:style>
  <w:style w:type="character" w:customStyle="1" w:styleId="Nagwek4Znak">
    <w:name w:val="Nagłówek 4 Znak"/>
    <w:basedOn w:val="Domylnaczcionkaakapitu"/>
    <w:link w:val="Nagwek4"/>
    <w:uiPriority w:val="9"/>
    <w:rsid w:val="0046269D"/>
    <w:rPr>
      <w:b/>
      <w:bCs/>
      <w:color w:val="88121D" w:themeColor="accent1" w:themeShade="BF"/>
      <w:spacing w:val="10"/>
      <w:sz w:val="24"/>
    </w:rPr>
  </w:style>
  <w:style w:type="character" w:customStyle="1" w:styleId="Nagwek5Znak">
    <w:name w:val="Nagłówek 5 Znak"/>
    <w:basedOn w:val="Domylnaczcionkaakapitu"/>
    <w:link w:val="Nagwek5"/>
    <w:uiPriority w:val="9"/>
    <w:rsid w:val="00696242"/>
    <w:rPr>
      <w:caps/>
      <w:color w:val="88121D" w:themeColor="accent1" w:themeShade="BF"/>
      <w:spacing w:val="10"/>
    </w:rPr>
  </w:style>
  <w:style w:type="character" w:customStyle="1" w:styleId="Nagwek6Znak">
    <w:name w:val="Nagłówek 6 Znak"/>
    <w:basedOn w:val="Domylnaczcionkaakapitu"/>
    <w:link w:val="Nagwek6"/>
    <w:uiPriority w:val="9"/>
    <w:rsid w:val="00696242"/>
    <w:rPr>
      <w:caps/>
      <w:color w:val="88121D" w:themeColor="accent1" w:themeShade="BF"/>
      <w:spacing w:val="10"/>
    </w:rPr>
  </w:style>
  <w:style w:type="character" w:customStyle="1" w:styleId="Nagwek7Znak">
    <w:name w:val="Nagłówek 7 Znak"/>
    <w:basedOn w:val="Domylnaczcionkaakapitu"/>
    <w:link w:val="Nagwek7"/>
    <w:uiPriority w:val="9"/>
    <w:rsid w:val="00696242"/>
    <w:rPr>
      <w:caps/>
      <w:color w:val="88121D" w:themeColor="accent1" w:themeShade="BF"/>
      <w:spacing w:val="10"/>
    </w:rPr>
  </w:style>
  <w:style w:type="character" w:customStyle="1" w:styleId="Nagwek8Znak">
    <w:name w:val="Nagłówek 8 Znak"/>
    <w:basedOn w:val="Domylnaczcionkaakapitu"/>
    <w:link w:val="Nagwek8"/>
    <w:uiPriority w:val="9"/>
    <w:rsid w:val="00696242"/>
    <w:rPr>
      <w:caps/>
      <w:spacing w:val="10"/>
      <w:sz w:val="18"/>
      <w:szCs w:val="18"/>
    </w:rPr>
  </w:style>
  <w:style w:type="character" w:customStyle="1" w:styleId="Nagwek9Znak">
    <w:name w:val="Nagłówek 9 Znak"/>
    <w:basedOn w:val="Domylnaczcionkaakapitu"/>
    <w:link w:val="Nagwek9"/>
    <w:uiPriority w:val="9"/>
    <w:semiHidden/>
    <w:rsid w:val="00696242"/>
    <w:rPr>
      <w:i/>
      <w:iCs/>
      <w:caps/>
      <w:spacing w:val="10"/>
      <w:sz w:val="18"/>
      <w:szCs w:val="18"/>
    </w:rPr>
  </w:style>
  <w:style w:type="paragraph" w:styleId="Legenda">
    <w:name w:val="caption"/>
    <w:basedOn w:val="Normalny"/>
    <w:next w:val="Normalny"/>
    <w:link w:val="LegendaZnak"/>
    <w:uiPriority w:val="35"/>
    <w:unhideWhenUsed/>
    <w:qFormat/>
    <w:rsid w:val="00F336AB"/>
    <w:rPr>
      <w:b/>
      <w:bCs/>
      <w:color w:val="88121D" w:themeColor="accent1" w:themeShade="BF"/>
      <w:szCs w:val="16"/>
    </w:rPr>
  </w:style>
  <w:style w:type="paragraph" w:styleId="Tytu">
    <w:name w:val="Title"/>
    <w:basedOn w:val="Normalny"/>
    <w:next w:val="Normalny"/>
    <w:link w:val="TytuZnak"/>
    <w:uiPriority w:val="10"/>
    <w:qFormat/>
    <w:rsid w:val="00FA630F"/>
    <w:pPr>
      <w:spacing w:before="2000" w:after="0"/>
    </w:pPr>
    <w:rPr>
      <w:rFonts w:eastAsiaTheme="majorEastAsia" w:cstheme="minorHAnsi"/>
      <w:color w:val="B61928" w:themeColor="accent1"/>
      <w:spacing w:val="10"/>
      <w:sz w:val="52"/>
      <w:szCs w:val="52"/>
    </w:rPr>
  </w:style>
  <w:style w:type="character" w:customStyle="1" w:styleId="TytuZnak">
    <w:name w:val="Tytuł Znak"/>
    <w:basedOn w:val="Domylnaczcionkaakapitu"/>
    <w:link w:val="Tytu"/>
    <w:uiPriority w:val="10"/>
    <w:rsid w:val="00FA630F"/>
    <w:rPr>
      <w:rFonts w:eastAsiaTheme="majorEastAsia" w:cstheme="minorHAnsi"/>
      <w:color w:val="B61928" w:themeColor="accent1"/>
      <w:spacing w:val="10"/>
      <w:sz w:val="52"/>
      <w:szCs w:val="52"/>
    </w:rPr>
  </w:style>
  <w:style w:type="paragraph" w:styleId="Podtytu">
    <w:name w:val="Subtitle"/>
    <w:basedOn w:val="Normalny"/>
    <w:next w:val="Normalny"/>
    <w:link w:val="PodtytuZnak"/>
    <w:uiPriority w:val="11"/>
    <w:qFormat/>
    <w:rsid w:val="009E34D4"/>
    <w:pPr>
      <w:spacing w:before="0" w:after="500" w:line="240" w:lineRule="auto"/>
    </w:pPr>
    <w:rPr>
      <w:color w:val="B61928" w:themeColor="accent1"/>
      <w:spacing w:val="10"/>
      <w:sz w:val="28"/>
      <w:szCs w:val="21"/>
    </w:rPr>
  </w:style>
  <w:style w:type="character" w:customStyle="1" w:styleId="PodtytuZnak">
    <w:name w:val="Podtytuł Znak"/>
    <w:basedOn w:val="Domylnaczcionkaakapitu"/>
    <w:link w:val="Podtytu"/>
    <w:uiPriority w:val="11"/>
    <w:rsid w:val="009E34D4"/>
    <w:rPr>
      <w:color w:val="B61928" w:themeColor="accent1"/>
      <w:spacing w:val="10"/>
      <w:sz w:val="28"/>
      <w:szCs w:val="21"/>
    </w:rPr>
  </w:style>
  <w:style w:type="character" w:styleId="Pogrubienie">
    <w:name w:val="Strong"/>
    <w:uiPriority w:val="22"/>
    <w:qFormat/>
    <w:rsid w:val="00696242"/>
    <w:rPr>
      <w:b/>
      <w:bCs/>
    </w:rPr>
  </w:style>
  <w:style w:type="character" w:styleId="Uwydatnienie">
    <w:name w:val="Emphasis"/>
    <w:uiPriority w:val="20"/>
    <w:qFormat/>
    <w:rsid w:val="00696242"/>
    <w:rPr>
      <w:caps/>
      <w:color w:val="5A0C13" w:themeColor="accent1" w:themeShade="7F"/>
      <w:spacing w:val="5"/>
    </w:rPr>
  </w:style>
  <w:style w:type="paragraph" w:styleId="Bezodstpw">
    <w:name w:val="No Spacing"/>
    <w:link w:val="BezodstpwZnak"/>
    <w:uiPriority w:val="1"/>
    <w:qFormat/>
    <w:rsid w:val="00696242"/>
    <w:pPr>
      <w:spacing w:after="0" w:line="240" w:lineRule="auto"/>
    </w:pPr>
  </w:style>
  <w:style w:type="paragraph" w:styleId="Cytat">
    <w:name w:val="Quote"/>
    <w:basedOn w:val="Normalny"/>
    <w:next w:val="Normalny"/>
    <w:link w:val="CytatZnak"/>
    <w:uiPriority w:val="29"/>
    <w:qFormat/>
    <w:rsid w:val="00354A81"/>
    <w:rPr>
      <w:i/>
      <w:iCs/>
      <w:color w:val="0C7492" w:themeColor="accent5"/>
      <w:szCs w:val="24"/>
    </w:rPr>
  </w:style>
  <w:style w:type="character" w:customStyle="1" w:styleId="CytatZnak">
    <w:name w:val="Cytat Znak"/>
    <w:basedOn w:val="Domylnaczcionkaakapitu"/>
    <w:link w:val="Cytat"/>
    <w:uiPriority w:val="29"/>
    <w:rsid w:val="00354A81"/>
    <w:rPr>
      <w:i/>
      <w:iCs/>
      <w:color w:val="0C7492" w:themeColor="accent5"/>
      <w:sz w:val="24"/>
      <w:szCs w:val="24"/>
    </w:rPr>
  </w:style>
  <w:style w:type="paragraph" w:styleId="Cytatintensywny">
    <w:name w:val="Intense Quote"/>
    <w:basedOn w:val="Normalny"/>
    <w:next w:val="Normalny"/>
    <w:link w:val="CytatintensywnyZnak"/>
    <w:uiPriority w:val="30"/>
    <w:qFormat/>
    <w:rsid w:val="00696242"/>
    <w:pPr>
      <w:spacing w:before="240" w:after="240" w:line="240" w:lineRule="auto"/>
      <w:ind w:left="1080" w:right="1080"/>
      <w:jc w:val="center"/>
    </w:pPr>
    <w:rPr>
      <w:color w:val="B61928" w:themeColor="accent1"/>
      <w:szCs w:val="24"/>
    </w:rPr>
  </w:style>
  <w:style w:type="character" w:customStyle="1" w:styleId="CytatintensywnyZnak">
    <w:name w:val="Cytat intensywny Znak"/>
    <w:basedOn w:val="Domylnaczcionkaakapitu"/>
    <w:link w:val="Cytatintensywny"/>
    <w:uiPriority w:val="30"/>
    <w:rsid w:val="00696242"/>
    <w:rPr>
      <w:color w:val="B61928" w:themeColor="accent1"/>
      <w:sz w:val="24"/>
      <w:szCs w:val="24"/>
    </w:rPr>
  </w:style>
  <w:style w:type="character" w:styleId="Wyrnieniedelikatne">
    <w:name w:val="Subtle Emphasis"/>
    <w:uiPriority w:val="19"/>
    <w:qFormat/>
    <w:rsid w:val="00206A3C"/>
    <w:rPr>
      <w:rFonts w:asciiTheme="minorHAnsi" w:hAnsiTheme="minorHAnsi"/>
      <w:b/>
      <w:i w:val="0"/>
      <w:iCs/>
      <w:color w:val="0C7492" w:themeColor="accent5"/>
      <w:sz w:val="24"/>
    </w:rPr>
  </w:style>
  <w:style w:type="character" w:styleId="Wyrnienieintensywne">
    <w:name w:val="Intense Emphasis"/>
    <w:uiPriority w:val="21"/>
    <w:qFormat/>
    <w:rsid w:val="00B47B28"/>
    <w:rPr>
      <w:rFonts w:asciiTheme="minorHAnsi" w:hAnsiTheme="minorHAnsi"/>
      <w:b/>
      <w:bCs/>
      <w:i w:val="0"/>
      <w:caps w:val="0"/>
      <w:color w:val="B61928" w:themeColor="text2"/>
      <w:spacing w:val="10"/>
      <w:sz w:val="24"/>
    </w:rPr>
  </w:style>
  <w:style w:type="character" w:styleId="Odwoaniedelikatne">
    <w:name w:val="Subtle Reference"/>
    <w:uiPriority w:val="31"/>
    <w:qFormat/>
    <w:rsid w:val="00696242"/>
    <w:rPr>
      <w:b/>
      <w:bCs/>
      <w:color w:val="B61928" w:themeColor="accent1"/>
    </w:rPr>
  </w:style>
  <w:style w:type="character" w:styleId="Odwoanieintensywne">
    <w:name w:val="Intense Reference"/>
    <w:uiPriority w:val="32"/>
    <w:qFormat/>
    <w:rsid w:val="00696242"/>
    <w:rPr>
      <w:b/>
      <w:bCs/>
      <w:i/>
      <w:iCs/>
      <w:caps/>
      <w:color w:val="B61928" w:themeColor="accent1"/>
    </w:rPr>
  </w:style>
  <w:style w:type="character" w:styleId="Tytuksiki">
    <w:name w:val="Book Title"/>
    <w:uiPriority w:val="33"/>
    <w:qFormat/>
    <w:rsid w:val="00696242"/>
    <w:rPr>
      <w:b/>
      <w:bCs/>
      <w:i/>
      <w:iCs/>
      <w:spacing w:val="0"/>
    </w:rPr>
  </w:style>
  <w:style w:type="paragraph" w:styleId="Nagwekspisutreci">
    <w:name w:val="TOC Heading"/>
    <w:basedOn w:val="Nagwek1"/>
    <w:next w:val="Normalny"/>
    <w:uiPriority w:val="39"/>
    <w:unhideWhenUsed/>
    <w:qFormat/>
    <w:rsid w:val="00696242"/>
    <w:pPr>
      <w:outlineLvl w:val="9"/>
    </w:pPr>
  </w:style>
  <w:style w:type="paragraph" w:styleId="Nagwek">
    <w:name w:val="header"/>
    <w:basedOn w:val="Normalny"/>
    <w:link w:val="NagwekZnak"/>
    <w:uiPriority w:val="99"/>
    <w:unhideWhenUsed/>
    <w:rsid w:val="00696242"/>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696242"/>
  </w:style>
  <w:style w:type="paragraph" w:styleId="Stopka">
    <w:name w:val="footer"/>
    <w:basedOn w:val="Normalny"/>
    <w:link w:val="StopkaZnak"/>
    <w:uiPriority w:val="99"/>
    <w:unhideWhenUsed/>
    <w:rsid w:val="00696242"/>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696242"/>
  </w:style>
  <w:style w:type="character" w:customStyle="1" w:styleId="BezodstpwZnak">
    <w:name w:val="Bez odstępów Znak"/>
    <w:basedOn w:val="Domylnaczcionkaakapitu"/>
    <w:link w:val="Bezodstpw"/>
    <w:uiPriority w:val="1"/>
    <w:rsid w:val="00696242"/>
  </w:style>
  <w:style w:type="paragraph" w:styleId="Tekstdymka">
    <w:name w:val="Balloon Text"/>
    <w:basedOn w:val="Normalny"/>
    <w:link w:val="TekstdymkaZnak"/>
    <w:uiPriority w:val="99"/>
    <w:semiHidden/>
    <w:unhideWhenUsed/>
    <w:rsid w:val="00AE3EC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3EC5"/>
    <w:rPr>
      <w:rFonts w:ascii="Segoe UI" w:hAnsi="Segoe UI" w:cs="Segoe UI"/>
      <w:sz w:val="18"/>
      <w:szCs w:val="18"/>
    </w:rPr>
  </w:style>
  <w:style w:type="paragraph" w:styleId="NormalnyWeb">
    <w:name w:val="Normal (Web)"/>
    <w:basedOn w:val="Normalny"/>
    <w:uiPriority w:val="99"/>
    <w:unhideWhenUsed/>
    <w:rsid w:val="00AE3EC5"/>
    <w:pPr>
      <w:spacing w:beforeAutospacing="1" w:afterAutospacing="1" w:line="240" w:lineRule="auto"/>
    </w:pPr>
    <w:rPr>
      <w:rFonts w:ascii="Times New Roman" w:hAnsi="Times New Roman" w:cs="Times New Roman"/>
      <w:szCs w:val="24"/>
      <w:lang w:eastAsia="pl-PL"/>
    </w:rPr>
  </w:style>
  <w:style w:type="paragraph" w:customStyle="1" w:styleId="new">
    <w:name w:val="new"/>
    <w:basedOn w:val="Normalny"/>
    <w:rsid w:val="00696B9E"/>
    <w:pPr>
      <w:suppressAutoHyphens/>
      <w:spacing w:line="312" w:lineRule="auto"/>
      <w:jc w:val="both"/>
    </w:pPr>
    <w:rPr>
      <w:rFonts w:ascii="Times New Roman" w:eastAsia="MS Mincho" w:hAnsi="Times New Roman" w:cs="Tahoma"/>
      <w:bCs/>
      <w:color w:val="3B3838"/>
      <w:sz w:val="22"/>
      <w:szCs w:val="24"/>
      <w:lang w:eastAsia="pl-PL"/>
    </w:rPr>
  </w:style>
  <w:style w:type="paragraph" w:styleId="Spistreci1">
    <w:name w:val="toc 1"/>
    <w:basedOn w:val="Normalny"/>
    <w:next w:val="Normalny"/>
    <w:autoRedefine/>
    <w:uiPriority w:val="39"/>
    <w:unhideWhenUsed/>
    <w:rsid w:val="006C20F0"/>
    <w:pPr>
      <w:tabs>
        <w:tab w:val="left" w:pos="660"/>
        <w:tab w:val="right" w:leader="dot" w:pos="9062"/>
      </w:tabs>
      <w:spacing w:before="0" w:after="0" w:line="240" w:lineRule="auto"/>
    </w:pPr>
    <w:rPr>
      <w:b/>
      <w:bCs/>
      <w:noProof/>
      <w:color w:val="B61928" w:themeColor="accent1"/>
      <w:sz w:val="22"/>
      <w:szCs w:val="18"/>
    </w:rPr>
  </w:style>
  <w:style w:type="paragraph" w:styleId="Spistreci2">
    <w:name w:val="toc 2"/>
    <w:basedOn w:val="Normalny"/>
    <w:next w:val="Normalny"/>
    <w:autoRedefine/>
    <w:uiPriority w:val="39"/>
    <w:unhideWhenUsed/>
    <w:rsid w:val="0032450B"/>
    <w:pPr>
      <w:ind w:left="200"/>
    </w:pPr>
  </w:style>
  <w:style w:type="paragraph" w:styleId="Spistreci3">
    <w:name w:val="toc 3"/>
    <w:basedOn w:val="Normalny"/>
    <w:next w:val="Normalny"/>
    <w:autoRedefine/>
    <w:uiPriority w:val="39"/>
    <w:unhideWhenUsed/>
    <w:rsid w:val="0032450B"/>
    <w:pPr>
      <w:ind w:left="400"/>
    </w:pPr>
  </w:style>
  <w:style w:type="character" w:styleId="Hipercze">
    <w:name w:val="Hyperlink"/>
    <w:basedOn w:val="Domylnaczcionkaakapitu"/>
    <w:uiPriority w:val="99"/>
    <w:unhideWhenUsed/>
    <w:rsid w:val="0032450B"/>
    <w:rPr>
      <w:color w:val="B61928" w:themeColor="hyperlink"/>
      <w:u w:val="single"/>
    </w:rPr>
  </w:style>
  <w:style w:type="paragraph" w:styleId="Akapitzlist">
    <w:name w:val="List Paragraph"/>
    <w:aliases w:val="maz_wyliczenie,opis dzialania,K-P_odwolanie,A_wyliczenie,Akapit z listą 1,Akapit z listą5,Akapit z listą BS,Table of contents numbered,L1,Numerowanie,List Paragraph,EPL lista punktowana z wyrózneniem,1st level - Bullet List Paragraph"/>
    <w:basedOn w:val="Normalny"/>
    <w:link w:val="AkapitzlistZnak"/>
    <w:uiPriority w:val="34"/>
    <w:qFormat/>
    <w:rsid w:val="00ED7A29"/>
    <w:pPr>
      <w:numPr>
        <w:numId w:val="4"/>
      </w:numPr>
      <w:spacing w:before="0" w:after="120"/>
      <w:contextualSpacing/>
    </w:pPr>
  </w:style>
  <w:style w:type="paragraph" w:customStyle="1" w:styleId="Default">
    <w:name w:val="Default"/>
    <w:rsid w:val="00835864"/>
    <w:pPr>
      <w:autoSpaceDE w:val="0"/>
      <w:autoSpaceDN w:val="0"/>
      <w:adjustRightInd w:val="0"/>
      <w:spacing w:before="0" w:after="0" w:line="240" w:lineRule="auto"/>
    </w:pPr>
    <w:rPr>
      <w:rFonts w:ascii="Calibri" w:hAnsi="Calibri" w:cs="Calibri"/>
      <w:color w:val="000000"/>
      <w:sz w:val="24"/>
      <w:szCs w:val="24"/>
    </w:rPr>
  </w:style>
  <w:style w:type="paragraph" w:styleId="Tekstprzypisudolnego">
    <w:name w:val="footnote text"/>
    <w:aliases w:val="Znak,single space,FOOTNOTES,fn,Podrozdział,Fußnote,Footnote,Podrozdzia3,przypis,Tekst przypisu,Tekst przypisu Znak Znak Znak Znak,Tekst przypisu Znak Znak Znak Znak Znak,Tekst przypisu Znak Znak Znak Znak Znak Znak Znak,f,ft, Znak"/>
    <w:basedOn w:val="Normalny"/>
    <w:link w:val="TekstprzypisudolnegoZnak"/>
    <w:uiPriority w:val="99"/>
    <w:unhideWhenUsed/>
    <w:qFormat/>
    <w:rsid w:val="0097632A"/>
    <w:pPr>
      <w:spacing w:before="0" w:after="0" w:line="240" w:lineRule="auto"/>
    </w:pPr>
    <w:rPr>
      <w:sz w:val="20"/>
    </w:rPr>
  </w:style>
  <w:style w:type="character" w:customStyle="1" w:styleId="TekstprzypisudolnegoZnak">
    <w:name w:val="Tekst przypisu dolnego Znak"/>
    <w:aliases w:val="Znak Znak,single space Znak,FOOTNOTES Znak,fn Znak,Podrozdział Znak,Fußnote Znak,Footnote Znak,Podrozdzia3 Znak,przypis Znak,Tekst przypisu Znak,Tekst przypisu Znak Znak Znak Znak Znak1,f Znak,ft Znak, Znak Znak"/>
    <w:basedOn w:val="Domylnaczcionkaakapitu"/>
    <w:link w:val="Tekstprzypisudolnego"/>
    <w:uiPriority w:val="99"/>
    <w:rsid w:val="0097632A"/>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qFormat/>
    <w:rsid w:val="0097632A"/>
    <w:rPr>
      <w:vertAlign w:val="superscript"/>
    </w:rPr>
  </w:style>
  <w:style w:type="paragraph" w:customStyle="1" w:styleId="rdo">
    <w:name w:val="Źródło"/>
    <w:basedOn w:val="Normalny"/>
    <w:next w:val="Normalny"/>
    <w:qFormat/>
    <w:rsid w:val="00354A81"/>
    <w:rPr>
      <w:i/>
      <w:noProof/>
      <w:color w:val="626769" w:themeColor="accent3"/>
      <w:sz w:val="20"/>
      <w:lang w:eastAsia="pl-PL"/>
    </w:rPr>
  </w:style>
  <w:style w:type="table" w:customStyle="1" w:styleId="Tabelasiatki5ciemnaakcent11">
    <w:name w:val="Tabela siatki 5 — ciemna — akcent 11"/>
    <w:basedOn w:val="Standardowy"/>
    <w:uiPriority w:val="50"/>
    <w:rsid w:val="000642A1"/>
    <w:pPr>
      <w:spacing w:before="0" w:after="0" w:line="240" w:lineRule="auto"/>
    </w:pPr>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9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19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19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19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1928" w:themeFill="accent1"/>
      </w:tcPr>
    </w:tblStylePr>
    <w:tblStylePr w:type="band1Vert">
      <w:tblPr/>
      <w:tcPr>
        <w:shd w:val="clear" w:color="auto" w:fill="F0949C" w:themeFill="accent1" w:themeFillTint="66"/>
      </w:tcPr>
    </w:tblStylePr>
    <w:tblStylePr w:type="band1Horz">
      <w:tblPr/>
      <w:tcPr>
        <w:shd w:val="clear" w:color="auto" w:fill="F0949C" w:themeFill="accent1" w:themeFillTint="66"/>
      </w:tcPr>
    </w:tblStylePr>
  </w:style>
  <w:style w:type="character" w:customStyle="1" w:styleId="AkapitzlistZnak">
    <w:name w:val="Akapit z listą Znak"/>
    <w:aliases w:val="maz_wyliczenie Znak,opis dzialania Znak,K-P_odwolanie Znak,A_wyliczenie Znak,Akapit z listą 1 Znak,Akapit z listą5 Znak,Akapit z listą BS Znak,Table of contents numbered Znak,L1 Znak,Numerowanie Znak,List Paragraph Znak"/>
    <w:basedOn w:val="Domylnaczcionkaakapitu"/>
    <w:link w:val="Akapitzlist"/>
    <w:uiPriority w:val="34"/>
    <w:qFormat/>
    <w:rsid w:val="00ED7A29"/>
    <w:rPr>
      <w:sz w:val="24"/>
    </w:rPr>
  </w:style>
  <w:style w:type="table" w:customStyle="1" w:styleId="Tabelasiatki5ciemnaakcent112">
    <w:name w:val="Tabela siatki 5 — ciemna — akcent 112"/>
    <w:basedOn w:val="Standardowy"/>
    <w:uiPriority w:val="50"/>
    <w:rsid w:val="000642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9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19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19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19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1928" w:themeFill="accent1"/>
      </w:tcPr>
    </w:tblStylePr>
    <w:tblStylePr w:type="band1Vert">
      <w:tblPr/>
      <w:tcPr>
        <w:shd w:val="clear" w:color="auto" w:fill="F0949C" w:themeFill="accent1" w:themeFillTint="66"/>
      </w:tcPr>
    </w:tblStylePr>
    <w:tblStylePr w:type="band1Horz">
      <w:tblPr/>
      <w:tcPr>
        <w:shd w:val="clear" w:color="auto" w:fill="F0949C" w:themeFill="accent1" w:themeFillTint="66"/>
      </w:tcPr>
    </w:tblStylePr>
  </w:style>
  <w:style w:type="table" w:styleId="Tabela-Siatka">
    <w:name w:val="Table Grid"/>
    <w:aliases w:val="nowy,Styl wyrównany do środka"/>
    <w:basedOn w:val="Standardowy"/>
    <w:uiPriority w:val="39"/>
    <w:rsid w:val="000642A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4">
    <w:name w:val="Pa24"/>
    <w:basedOn w:val="Normalny"/>
    <w:next w:val="Normalny"/>
    <w:uiPriority w:val="99"/>
    <w:rsid w:val="000642A1"/>
    <w:pPr>
      <w:autoSpaceDE w:val="0"/>
      <w:autoSpaceDN w:val="0"/>
      <w:adjustRightInd w:val="0"/>
      <w:spacing w:before="0" w:after="0" w:line="161" w:lineRule="atLeast"/>
    </w:pPr>
    <w:rPr>
      <w:rFonts w:ascii="Myriad Pro" w:eastAsiaTheme="minorHAnsi" w:hAnsi="Myriad Pro"/>
      <w:szCs w:val="24"/>
    </w:rPr>
  </w:style>
  <w:style w:type="paragraph" w:customStyle="1" w:styleId="Pa70">
    <w:name w:val="Pa70"/>
    <w:basedOn w:val="Normalny"/>
    <w:next w:val="Normalny"/>
    <w:uiPriority w:val="99"/>
    <w:rsid w:val="000642A1"/>
    <w:pPr>
      <w:autoSpaceDE w:val="0"/>
      <w:autoSpaceDN w:val="0"/>
      <w:adjustRightInd w:val="0"/>
      <w:spacing w:before="0" w:after="0" w:line="161" w:lineRule="atLeast"/>
    </w:pPr>
    <w:rPr>
      <w:rFonts w:ascii="Myriad Pro" w:eastAsiaTheme="minorHAnsi" w:hAnsi="Myriad Pro"/>
      <w:szCs w:val="24"/>
    </w:rPr>
  </w:style>
  <w:style w:type="character" w:customStyle="1" w:styleId="LegendaZnak">
    <w:name w:val="Legenda Znak"/>
    <w:basedOn w:val="Domylnaczcionkaakapitu"/>
    <w:link w:val="Legenda"/>
    <w:uiPriority w:val="35"/>
    <w:locked/>
    <w:rsid w:val="000642A1"/>
    <w:rPr>
      <w:b/>
      <w:bCs/>
      <w:color w:val="88121D" w:themeColor="accent1" w:themeShade="BF"/>
      <w:sz w:val="24"/>
      <w:szCs w:val="16"/>
    </w:rPr>
  </w:style>
  <w:style w:type="table" w:customStyle="1" w:styleId="Tabelasiatki4akcent11">
    <w:name w:val="Tabela siatki 4 — akcent 11"/>
    <w:basedOn w:val="Standardowy"/>
    <w:uiPriority w:val="49"/>
    <w:rsid w:val="000642A1"/>
    <w:pPr>
      <w:spacing w:after="0" w:line="240" w:lineRule="auto"/>
    </w:pPr>
    <w:tblPr>
      <w:tblStyleRowBandSize w:val="1"/>
      <w:tblStyleColBandSize w:val="1"/>
      <w:tblBorders>
        <w:top w:val="single" w:sz="4" w:space="0" w:color="E95F6B" w:themeColor="accent1" w:themeTint="99"/>
        <w:left w:val="single" w:sz="4" w:space="0" w:color="E95F6B" w:themeColor="accent1" w:themeTint="99"/>
        <w:bottom w:val="single" w:sz="4" w:space="0" w:color="E95F6B" w:themeColor="accent1" w:themeTint="99"/>
        <w:right w:val="single" w:sz="4" w:space="0" w:color="E95F6B" w:themeColor="accent1" w:themeTint="99"/>
        <w:insideH w:val="single" w:sz="4" w:space="0" w:color="E95F6B" w:themeColor="accent1" w:themeTint="99"/>
        <w:insideV w:val="single" w:sz="4" w:space="0" w:color="E95F6B" w:themeColor="accent1" w:themeTint="99"/>
      </w:tblBorders>
    </w:tblPr>
    <w:tblStylePr w:type="firstRow">
      <w:rPr>
        <w:b/>
        <w:bCs/>
        <w:color w:val="FFFFFF" w:themeColor="background1"/>
      </w:rPr>
      <w:tblPr/>
      <w:tcPr>
        <w:tcBorders>
          <w:top w:val="single" w:sz="4" w:space="0" w:color="B61928" w:themeColor="accent1"/>
          <w:left w:val="single" w:sz="4" w:space="0" w:color="B61928" w:themeColor="accent1"/>
          <w:bottom w:val="single" w:sz="4" w:space="0" w:color="B61928" w:themeColor="accent1"/>
          <w:right w:val="single" w:sz="4" w:space="0" w:color="B61928" w:themeColor="accent1"/>
          <w:insideH w:val="nil"/>
          <w:insideV w:val="nil"/>
        </w:tcBorders>
        <w:shd w:val="clear" w:color="auto" w:fill="B61928" w:themeFill="accent1"/>
      </w:tcPr>
    </w:tblStylePr>
    <w:tblStylePr w:type="lastRow">
      <w:rPr>
        <w:b/>
        <w:bCs/>
      </w:rPr>
      <w:tblPr/>
      <w:tcPr>
        <w:tcBorders>
          <w:top w:val="double" w:sz="4" w:space="0" w:color="B61928" w:themeColor="accent1"/>
        </w:tcBorders>
      </w:tcPr>
    </w:tblStylePr>
    <w:tblStylePr w:type="firstCol">
      <w:rPr>
        <w:b/>
        <w:bCs/>
      </w:rPr>
    </w:tblStylePr>
    <w:tblStylePr w:type="lastCol">
      <w:rPr>
        <w:b/>
        <w:bCs/>
      </w:rPr>
    </w:tblStylePr>
    <w:tblStylePr w:type="band1Vert">
      <w:tblPr/>
      <w:tcPr>
        <w:shd w:val="clear" w:color="auto" w:fill="F7C9CD" w:themeFill="accent1" w:themeFillTint="33"/>
      </w:tcPr>
    </w:tblStylePr>
    <w:tblStylePr w:type="band1Horz">
      <w:tblPr/>
      <w:tcPr>
        <w:shd w:val="clear" w:color="auto" w:fill="F7C9CD" w:themeFill="accent1" w:themeFillTint="33"/>
      </w:tcPr>
    </w:tblStylePr>
  </w:style>
  <w:style w:type="character" w:styleId="Odwoaniedokomentarza">
    <w:name w:val="annotation reference"/>
    <w:basedOn w:val="Domylnaczcionkaakapitu"/>
    <w:uiPriority w:val="99"/>
    <w:semiHidden/>
    <w:unhideWhenUsed/>
    <w:rsid w:val="001C719C"/>
    <w:rPr>
      <w:sz w:val="16"/>
      <w:szCs w:val="16"/>
    </w:rPr>
  </w:style>
  <w:style w:type="paragraph" w:styleId="Tekstkomentarza">
    <w:name w:val="annotation text"/>
    <w:basedOn w:val="Normalny"/>
    <w:link w:val="TekstkomentarzaZnak"/>
    <w:uiPriority w:val="99"/>
    <w:unhideWhenUsed/>
    <w:rsid w:val="001C719C"/>
    <w:pPr>
      <w:spacing w:before="0" w:after="200" w:line="240" w:lineRule="auto"/>
      <w:jc w:val="both"/>
    </w:pPr>
    <w:rPr>
      <w:rFonts w:eastAsiaTheme="minorHAnsi"/>
      <w:sz w:val="20"/>
    </w:rPr>
  </w:style>
  <w:style w:type="character" w:customStyle="1" w:styleId="TekstkomentarzaZnak">
    <w:name w:val="Tekst komentarza Znak"/>
    <w:basedOn w:val="Domylnaczcionkaakapitu"/>
    <w:link w:val="Tekstkomentarza"/>
    <w:uiPriority w:val="99"/>
    <w:rsid w:val="001C719C"/>
    <w:rPr>
      <w:rFonts w:eastAsiaTheme="minorHAnsi"/>
    </w:rPr>
  </w:style>
  <w:style w:type="character" w:customStyle="1" w:styleId="Nierozpoznanawzmianka1">
    <w:name w:val="Nierozpoznana wzmianka1"/>
    <w:basedOn w:val="Domylnaczcionkaakapitu"/>
    <w:uiPriority w:val="99"/>
    <w:semiHidden/>
    <w:unhideWhenUsed/>
    <w:rsid w:val="00263180"/>
    <w:rPr>
      <w:color w:val="605E5C"/>
      <w:shd w:val="clear" w:color="auto" w:fill="E1DFDD"/>
    </w:rPr>
  </w:style>
  <w:style w:type="paragraph" w:customStyle="1" w:styleId="Normalny1">
    <w:name w:val="Normalny1"/>
    <w:rsid w:val="00CE0C8C"/>
    <w:pPr>
      <w:suppressAutoHyphens/>
      <w:spacing w:before="0"/>
    </w:pPr>
    <w:rPr>
      <w:rFonts w:ascii="Times New Roman" w:eastAsia="SimSun" w:hAnsi="Times New Roman" w:cs="Lucida Sans"/>
      <w:color w:val="002060"/>
      <w:kern w:val="2"/>
      <w:sz w:val="18"/>
      <w:szCs w:val="24"/>
      <w:lang w:eastAsia="hi-IN" w:bidi="hi-IN"/>
    </w:rPr>
  </w:style>
  <w:style w:type="paragraph" w:styleId="Tematkomentarza">
    <w:name w:val="annotation subject"/>
    <w:basedOn w:val="Tekstkomentarza"/>
    <w:next w:val="Tekstkomentarza"/>
    <w:link w:val="TematkomentarzaZnak"/>
    <w:uiPriority w:val="99"/>
    <w:semiHidden/>
    <w:unhideWhenUsed/>
    <w:rsid w:val="00257D4D"/>
    <w:pPr>
      <w:spacing w:before="100" w:after="100"/>
      <w:jc w:val="left"/>
    </w:pPr>
    <w:rPr>
      <w:rFonts w:eastAsiaTheme="minorEastAsia"/>
      <w:b/>
      <w:bCs/>
    </w:rPr>
  </w:style>
  <w:style w:type="character" w:customStyle="1" w:styleId="TematkomentarzaZnak">
    <w:name w:val="Temat komentarza Znak"/>
    <w:basedOn w:val="TekstkomentarzaZnak"/>
    <w:link w:val="Tematkomentarza"/>
    <w:uiPriority w:val="99"/>
    <w:semiHidden/>
    <w:rsid w:val="00257D4D"/>
    <w:rPr>
      <w:rFonts w:eastAsiaTheme="minorHAnsi"/>
      <w:b/>
      <w:bCs/>
    </w:rPr>
  </w:style>
  <w:style w:type="character" w:styleId="UyteHipercze">
    <w:name w:val="FollowedHyperlink"/>
    <w:basedOn w:val="Domylnaczcionkaakapitu"/>
    <w:uiPriority w:val="99"/>
    <w:semiHidden/>
    <w:unhideWhenUsed/>
    <w:rsid w:val="004E3781"/>
    <w:rPr>
      <w:color w:val="7F7F7F" w:themeColor="followedHyperlink"/>
      <w:u w:val="single"/>
    </w:rPr>
  </w:style>
  <w:style w:type="paragraph" w:styleId="Poprawka">
    <w:name w:val="Revision"/>
    <w:hidden/>
    <w:uiPriority w:val="99"/>
    <w:semiHidden/>
    <w:rsid w:val="00F26B1C"/>
    <w:pPr>
      <w:spacing w:before="0" w:after="0" w:line="240" w:lineRule="auto"/>
    </w:pPr>
    <w:rPr>
      <w:sz w:val="24"/>
    </w:rPr>
  </w:style>
  <w:style w:type="table" w:customStyle="1" w:styleId="Tabelasiatki5ciemnaakcent21">
    <w:name w:val="Tabela siatki 5 — ciemna — akcent 21"/>
    <w:basedOn w:val="Standardowy"/>
    <w:uiPriority w:val="50"/>
    <w:rsid w:val="00246A07"/>
    <w:pPr>
      <w:spacing w:before="0" w:after="0" w:line="240" w:lineRule="auto"/>
    </w:pPr>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4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796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796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796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796D" w:themeFill="accent2"/>
      </w:tcPr>
    </w:tblStylePr>
    <w:tblStylePr w:type="band1Vert">
      <w:tblPr/>
      <w:tcPr>
        <w:shd w:val="clear" w:color="auto" w:fill="EDC9C4" w:themeFill="accent2" w:themeFillTint="66"/>
      </w:tcPr>
    </w:tblStylePr>
    <w:tblStylePr w:type="band1Horz">
      <w:tblPr/>
      <w:tcPr>
        <w:shd w:val="clear" w:color="auto" w:fill="EDC9C4" w:themeFill="accent2" w:themeFillTint="66"/>
      </w:tcPr>
    </w:tblStylePr>
  </w:style>
  <w:style w:type="table" w:customStyle="1" w:styleId="Tabelasiatki5ciemnaakcent12">
    <w:name w:val="Tabela siatki 5 — ciemna — akcent 12"/>
    <w:basedOn w:val="Standardowy"/>
    <w:uiPriority w:val="50"/>
    <w:rsid w:val="007E61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9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19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19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19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1928" w:themeFill="accent1"/>
      </w:tcPr>
    </w:tblStylePr>
    <w:tblStylePr w:type="band1Vert">
      <w:tblPr/>
      <w:tcPr>
        <w:shd w:val="clear" w:color="auto" w:fill="F0949C" w:themeFill="accent1" w:themeFillTint="66"/>
      </w:tcPr>
    </w:tblStylePr>
    <w:tblStylePr w:type="band1Horz">
      <w:tblPr/>
      <w:tcPr>
        <w:shd w:val="clear" w:color="auto" w:fill="F0949C" w:themeFill="accent1" w:themeFillTint="66"/>
      </w:tcPr>
    </w:tblStylePr>
  </w:style>
  <w:style w:type="table" w:customStyle="1" w:styleId="Tabelasiatki4akcent12">
    <w:name w:val="Tabela siatki 4 — akcent 12"/>
    <w:basedOn w:val="Standardowy"/>
    <w:uiPriority w:val="49"/>
    <w:rsid w:val="007E6196"/>
    <w:pPr>
      <w:spacing w:after="0" w:line="240" w:lineRule="auto"/>
    </w:pPr>
    <w:tblPr>
      <w:tblStyleRowBandSize w:val="1"/>
      <w:tblStyleColBandSize w:val="1"/>
      <w:tblBorders>
        <w:top w:val="single" w:sz="4" w:space="0" w:color="E95F6B" w:themeColor="accent1" w:themeTint="99"/>
        <w:left w:val="single" w:sz="4" w:space="0" w:color="E95F6B" w:themeColor="accent1" w:themeTint="99"/>
        <w:bottom w:val="single" w:sz="4" w:space="0" w:color="E95F6B" w:themeColor="accent1" w:themeTint="99"/>
        <w:right w:val="single" w:sz="4" w:space="0" w:color="E95F6B" w:themeColor="accent1" w:themeTint="99"/>
        <w:insideH w:val="single" w:sz="4" w:space="0" w:color="E95F6B" w:themeColor="accent1" w:themeTint="99"/>
        <w:insideV w:val="single" w:sz="4" w:space="0" w:color="E95F6B" w:themeColor="accent1" w:themeTint="99"/>
      </w:tblBorders>
    </w:tblPr>
    <w:tblStylePr w:type="firstRow">
      <w:rPr>
        <w:b/>
        <w:bCs/>
        <w:color w:val="FFFFFF" w:themeColor="background1"/>
      </w:rPr>
      <w:tblPr/>
      <w:tcPr>
        <w:tcBorders>
          <w:top w:val="single" w:sz="4" w:space="0" w:color="B61928" w:themeColor="accent1"/>
          <w:left w:val="single" w:sz="4" w:space="0" w:color="B61928" w:themeColor="accent1"/>
          <w:bottom w:val="single" w:sz="4" w:space="0" w:color="B61928" w:themeColor="accent1"/>
          <w:right w:val="single" w:sz="4" w:space="0" w:color="B61928" w:themeColor="accent1"/>
          <w:insideH w:val="nil"/>
          <w:insideV w:val="nil"/>
        </w:tcBorders>
        <w:shd w:val="clear" w:color="auto" w:fill="B61928" w:themeFill="accent1"/>
      </w:tcPr>
    </w:tblStylePr>
    <w:tblStylePr w:type="lastRow">
      <w:rPr>
        <w:b/>
        <w:bCs/>
      </w:rPr>
      <w:tblPr/>
      <w:tcPr>
        <w:tcBorders>
          <w:top w:val="double" w:sz="4" w:space="0" w:color="B61928" w:themeColor="accent1"/>
        </w:tcBorders>
      </w:tcPr>
    </w:tblStylePr>
    <w:tblStylePr w:type="firstCol">
      <w:rPr>
        <w:b/>
        <w:bCs/>
      </w:rPr>
    </w:tblStylePr>
    <w:tblStylePr w:type="lastCol">
      <w:rPr>
        <w:b/>
        <w:bCs/>
      </w:rPr>
    </w:tblStylePr>
    <w:tblStylePr w:type="band1Vert">
      <w:tblPr/>
      <w:tcPr>
        <w:shd w:val="clear" w:color="auto" w:fill="F7C9CD" w:themeFill="accent1" w:themeFillTint="33"/>
      </w:tcPr>
    </w:tblStylePr>
    <w:tblStylePr w:type="band1Horz">
      <w:tblPr/>
      <w:tcPr>
        <w:shd w:val="clear" w:color="auto" w:fill="F7C9CD" w:themeFill="accent1" w:themeFillTint="33"/>
      </w:tcPr>
    </w:tblStylePr>
  </w:style>
  <w:style w:type="paragraph" w:customStyle="1" w:styleId="Standard">
    <w:name w:val="Standard"/>
    <w:rsid w:val="00C50124"/>
    <w:pPr>
      <w:suppressAutoHyphens/>
      <w:autoSpaceDN w:val="0"/>
      <w:spacing w:before="0" w:after="120" w:line="240" w:lineRule="auto"/>
      <w:jc w:val="both"/>
      <w:textAlignment w:val="baseline"/>
    </w:pPr>
    <w:rPr>
      <w:rFonts w:ascii="Calibri" w:eastAsia="SimSun" w:hAnsi="Calibri" w:cs="F"/>
      <w:kern w:val="3"/>
      <w:szCs w:val="22"/>
    </w:rPr>
  </w:style>
  <w:style w:type="numbering" w:customStyle="1" w:styleId="WWNum18">
    <w:name w:val="WWNum18"/>
    <w:basedOn w:val="Bezlisty"/>
    <w:rsid w:val="00C50124"/>
    <w:pPr>
      <w:numPr>
        <w:numId w:val="2"/>
      </w:numPr>
    </w:pPr>
  </w:style>
  <w:style w:type="numbering" w:customStyle="1" w:styleId="WWNum19">
    <w:name w:val="WWNum19"/>
    <w:basedOn w:val="Bezlisty"/>
    <w:rsid w:val="00C50124"/>
    <w:pPr>
      <w:numPr>
        <w:numId w:val="3"/>
      </w:numPr>
    </w:pPr>
  </w:style>
  <w:style w:type="character" w:customStyle="1" w:styleId="apple-converted-space">
    <w:name w:val="apple-converted-space"/>
    <w:basedOn w:val="Domylnaczcionkaakapitu"/>
    <w:rsid w:val="00C50124"/>
  </w:style>
  <w:style w:type="character" w:customStyle="1" w:styleId="Nierozpoznanawzmianka2">
    <w:name w:val="Nierozpoznana wzmianka2"/>
    <w:basedOn w:val="Domylnaczcionkaakapitu"/>
    <w:uiPriority w:val="99"/>
    <w:semiHidden/>
    <w:unhideWhenUsed/>
    <w:rsid w:val="00C50124"/>
    <w:rPr>
      <w:color w:val="605E5C"/>
      <w:shd w:val="clear" w:color="auto" w:fill="E1DFDD"/>
    </w:rPr>
  </w:style>
  <w:style w:type="paragraph" w:customStyle="1" w:styleId="Nagwek11">
    <w:name w:val="Nagłówek 11"/>
    <w:basedOn w:val="Normalny"/>
    <w:next w:val="Normalny"/>
    <w:uiPriority w:val="9"/>
    <w:qFormat/>
    <w:rsid w:val="00FE05F7"/>
    <w:pPr>
      <w:pageBreakBefore/>
      <w:pBdr>
        <w:top w:val="single" w:sz="24" w:space="0" w:color="B61928"/>
        <w:left w:val="single" w:sz="24" w:space="0" w:color="B61928"/>
        <w:bottom w:val="single" w:sz="24" w:space="0" w:color="B61928"/>
        <w:right w:val="single" w:sz="24" w:space="0" w:color="B61928"/>
      </w:pBdr>
      <w:shd w:val="clear" w:color="auto" w:fill="B61928"/>
      <w:tabs>
        <w:tab w:val="left" w:pos="426"/>
      </w:tabs>
      <w:spacing w:before="400" w:after="0"/>
      <w:outlineLvl w:val="0"/>
    </w:pPr>
    <w:rPr>
      <w:rFonts w:eastAsiaTheme="minorHAnsi"/>
      <w:b/>
      <w:color w:val="FFFFFF"/>
      <w:spacing w:val="15"/>
      <w:sz w:val="28"/>
      <w:szCs w:val="22"/>
      <w:lang w:val="en-US"/>
    </w:rPr>
  </w:style>
  <w:style w:type="paragraph" w:customStyle="1" w:styleId="Nagwek21">
    <w:name w:val="Nagłówek 21"/>
    <w:basedOn w:val="Normalny"/>
    <w:next w:val="Normalny"/>
    <w:uiPriority w:val="9"/>
    <w:unhideWhenUsed/>
    <w:qFormat/>
    <w:rsid w:val="00FE05F7"/>
    <w:pPr>
      <w:pBdr>
        <w:top w:val="single" w:sz="24" w:space="0" w:color="F7C9CD"/>
        <w:left w:val="single" w:sz="24" w:space="0" w:color="F7C9CD"/>
        <w:bottom w:val="single" w:sz="24" w:space="0" w:color="F7C9CD"/>
        <w:right w:val="single" w:sz="24" w:space="0" w:color="F7C9CD"/>
      </w:pBdr>
      <w:shd w:val="clear" w:color="auto" w:fill="F7C9CD"/>
      <w:spacing w:before="200" w:after="0"/>
      <w:outlineLvl w:val="1"/>
    </w:pPr>
    <w:rPr>
      <w:rFonts w:eastAsia="Times New Roman"/>
      <w:b/>
      <w:spacing w:val="15"/>
    </w:rPr>
  </w:style>
  <w:style w:type="paragraph" w:customStyle="1" w:styleId="Nagwek31">
    <w:name w:val="Nagłówek 31"/>
    <w:basedOn w:val="Normalny"/>
    <w:next w:val="Normalny"/>
    <w:uiPriority w:val="9"/>
    <w:unhideWhenUsed/>
    <w:qFormat/>
    <w:rsid w:val="00FE05F7"/>
    <w:pPr>
      <w:pBdr>
        <w:top w:val="single" w:sz="6" w:space="2" w:color="B61928"/>
      </w:pBdr>
      <w:spacing w:before="200" w:after="0"/>
      <w:outlineLvl w:val="2"/>
    </w:pPr>
    <w:rPr>
      <w:rFonts w:eastAsia="Times New Roman"/>
      <w:b/>
      <w:color w:val="5A0C13"/>
      <w:spacing w:val="15"/>
    </w:rPr>
  </w:style>
  <w:style w:type="paragraph" w:customStyle="1" w:styleId="Nagwek41">
    <w:name w:val="Nagłówek 41"/>
    <w:basedOn w:val="Normalny1"/>
    <w:next w:val="Normalny"/>
    <w:uiPriority w:val="9"/>
    <w:unhideWhenUsed/>
    <w:qFormat/>
    <w:rsid w:val="00D3421E"/>
    <w:pPr>
      <w:autoSpaceDE w:val="0"/>
      <w:spacing w:before="80" w:after="80"/>
    </w:pPr>
    <w:rPr>
      <w:rFonts w:asciiTheme="minorHAnsi" w:hAnsiTheme="minorHAnsi" w:cstheme="minorHAnsi"/>
      <w:b/>
      <w:color w:val="C00000"/>
      <w:sz w:val="24"/>
    </w:rPr>
  </w:style>
  <w:style w:type="paragraph" w:customStyle="1" w:styleId="Nagwek51">
    <w:name w:val="Nagłówek 51"/>
    <w:basedOn w:val="Normalny"/>
    <w:next w:val="Normalny"/>
    <w:uiPriority w:val="9"/>
    <w:semiHidden/>
    <w:unhideWhenUsed/>
    <w:qFormat/>
    <w:rsid w:val="00FE05F7"/>
    <w:pPr>
      <w:pBdr>
        <w:bottom w:val="single" w:sz="6" w:space="1" w:color="B61928"/>
      </w:pBdr>
      <w:spacing w:before="200" w:after="0"/>
      <w:outlineLvl w:val="4"/>
    </w:pPr>
    <w:rPr>
      <w:rFonts w:eastAsia="Times New Roman"/>
      <w:caps/>
      <w:color w:val="88121D"/>
      <w:spacing w:val="10"/>
    </w:rPr>
  </w:style>
  <w:style w:type="paragraph" w:customStyle="1" w:styleId="Nagwek61">
    <w:name w:val="Nagłówek 61"/>
    <w:basedOn w:val="Normalny"/>
    <w:next w:val="Normalny"/>
    <w:uiPriority w:val="9"/>
    <w:semiHidden/>
    <w:unhideWhenUsed/>
    <w:qFormat/>
    <w:rsid w:val="00FE05F7"/>
    <w:pPr>
      <w:pBdr>
        <w:bottom w:val="dotted" w:sz="6" w:space="1" w:color="B61928"/>
      </w:pBdr>
      <w:spacing w:before="200" w:after="0"/>
      <w:outlineLvl w:val="5"/>
    </w:pPr>
    <w:rPr>
      <w:rFonts w:eastAsia="Times New Roman"/>
      <w:caps/>
      <w:color w:val="88121D"/>
      <w:spacing w:val="10"/>
    </w:rPr>
  </w:style>
  <w:style w:type="paragraph" w:customStyle="1" w:styleId="Nagwek71">
    <w:name w:val="Nagłówek 71"/>
    <w:basedOn w:val="Normalny"/>
    <w:next w:val="Normalny"/>
    <w:uiPriority w:val="9"/>
    <w:semiHidden/>
    <w:unhideWhenUsed/>
    <w:qFormat/>
    <w:rsid w:val="00FE05F7"/>
    <w:pPr>
      <w:spacing w:before="200" w:after="0"/>
      <w:outlineLvl w:val="6"/>
    </w:pPr>
    <w:rPr>
      <w:rFonts w:eastAsia="Times New Roman"/>
      <w:caps/>
      <w:color w:val="88121D"/>
      <w:spacing w:val="10"/>
    </w:rPr>
  </w:style>
  <w:style w:type="numbering" w:customStyle="1" w:styleId="Bezlisty1">
    <w:name w:val="Bez listy1"/>
    <w:next w:val="Bezlisty"/>
    <w:uiPriority w:val="99"/>
    <w:semiHidden/>
    <w:unhideWhenUsed/>
    <w:rsid w:val="00FE05F7"/>
  </w:style>
  <w:style w:type="paragraph" w:customStyle="1" w:styleId="Legenda1">
    <w:name w:val="Legenda1"/>
    <w:basedOn w:val="Normalny"/>
    <w:next w:val="Normalny"/>
    <w:uiPriority w:val="35"/>
    <w:unhideWhenUsed/>
    <w:qFormat/>
    <w:rsid w:val="00FE05F7"/>
    <w:rPr>
      <w:rFonts w:eastAsia="Times New Roman"/>
      <w:b/>
      <w:bCs/>
      <w:color w:val="88121D"/>
      <w:szCs w:val="16"/>
    </w:rPr>
  </w:style>
  <w:style w:type="paragraph" w:customStyle="1" w:styleId="Tytu1">
    <w:name w:val="Tytuł1"/>
    <w:basedOn w:val="Normalny"/>
    <w:next w:val="Normalny"/>
    <w:uiPriority w:val="10"/>
    <w:qFormat/>
    <w:rsid w:val="00FE05F7"/>
    <w:pPr>
      <w:spacing w:before="0" w:after="0"/>
    </w:pPr>
    <w:rPr>
      <w:rFonts w:ascii="Times New Roman" w:eastAsia="Times New Roman" w:hAnsi="Times New Roman" w:cs="Times New Roman"/>
      <w:caps/>
      <w:color w:val="B61928"/>
      <w:spacing w:val="10"/>
      <w:sz w:val="52"/>
      <w:szCs w:val="52"/>
    </w:rPr>
  </w:style>
  <w:style w:type="paragraph" w:customStyle="1" w:styleId="Podtytu1">
    <w:name w:val="Podtytuł1"/>
    <w:basedOn w:val="Normalny"/>
    <w:next w:val="Normalny"/>
    <w:uiPriority w:val="11"/>
    <w:qFormat/>
    <w:rsid w:val="00FE05F7"/>
    <w:pPr>
      <w:spacing w:before="0" w:after="500" w:line="240" w:lineRule="auto"/>
    </w:pPr>
    <w:rPr>
      <w:rFonts w:ascii="Times New Roman" w:eastAsia="Times New Roman" w:hAnsi="Times New Roman"/>
      <w:caps/>
      <w:color w:val="FFFFFF"/>
      <w:spacing w:val="10"/>
      <w:sz w:val="21"/>
      <w:szCs w:val="21"/>
    </w:rPr>
  </w:style>
  <w:style w:type="character" w:customStyle="1" w:styleId="Uwydatnienie1">
    <w:name w:val="Uwydatnienie1"/>
    <w:uiPriority w:val="20"/>
    <w:rsid w:val="00FE05F7"/>
    <w:rPr>
      <w:caps/>
      <w:color w:val="5A0C13"/>
      <w:spacing w:val="5"/>
    </w:rPr>
  </w:style>
  <w:style w:type="paragraph" w:customStyle="1" w:styleId="Cytatintensywny1">
    <w:name w:val="Cytat intensywny1"/>
    <w:basedOn w:val="Normalny"/>
    <w:next w:val="Normalny"/>
    <w:uiPriority w:val="30"/>
    <w:qFormat/>
    <w:rsid w:val="00FE05F7"/>
    <w:pPr>
      <w:spacing w:before="240" w:after="240" w:line="240" w:lineRule="auto"/>
      <w:ind w:left="1080" w:right="1080"/>
      <w:jc w:val="center"/>
    </w:pPr>
    <w:rPr>
      <w:rFonts w:eastAsia="Times New Roman"/>
      <w:color w:val="B61928"/>
      <w:szCs w:val="24"/>
    </w:rPr>
  </w:style>
  <w:style w:type="character" w:customStyle="1" w:styleId="Wyrnieniedelikatne1">
    <w:name w:val="Wyróżnienie delikatne1"/>
    <w:uiPriority w:val="19"/>
    <w:qFormat/>
    <w:rsid w:val="00FE05F7"/>
    <w:rPr>
      <w:i/>
      <w:iCs/>
      <w:color w:val="5A0C13"/>
    </w:rPr>
  </w:style>
  <w:style w:type="character" w:customStyle="1" w:styleId="Wyrnienieintensywne1">
    <w:name w:val="Wyróżnienie intensywne1"/>
    <w:uiPriority w:val="21"/>
    <w:rsid w:val="00FE05F7"/>
    <w:rPr>
      <w:b/>
      <w:bCs/>
      <w:caps/>
      <w:color w:val="5A0C13"/>
      <w:spacing w:val="10"/>
    </w:rPr>
  </w:style>
  <w:style w:type="character" w:customStyle="1" w:styleId="Odwoaniedelikatne1">
    <w:name w:val="Odwołanie delikatne1"/>
    <w:uiPriority w:val="31"/>
    <w:qFormat/>
    <w:rsid w:val="00FE05F7"/>
    <w:rPr>
      <w:b/>
      <w:bCs/>
      <w:color w:val="B61928"/>
    </w:rPr>
  </w:style>
  <w:style w:type="character" w:customStyle="1" w:styleId="Odwoanieintensywne1">
    <w:name w:val="Odwołanie intensywne1"/>
    <w:uiPriority w:val="32"/>
    <w:qFormat/>
    <w:rsid w:val="00206A3C"/>
    <w:rPr>
      <w:b w:val="0"/>
      <w:i/>
      <w:iCs/>
      <w:color w:val="808080" w:themeColor="background1" w:themeShade="80"/>
    </w:rPr>
  </w:style>
  <w:style w:type="character" w:customStyle="1" w:styleId="Nagwek1Znak1">
    <w:name w:val="Nagłówek 1 Znak1"/>
    <w:basedOn w:val="Domylnaczcionkaakapitu"/>
    <w:uiPriority w:val="9"/>
    <w:rsid w:val="00FE05F7"/>
    <w:rPr>
      <w:rFonts w:asciiTheme="majorHAnsi" w:eastAsiaTheme="majorEastAsia" w:hAnsiTheme="majorHAnsi" w:cstheme="majorBidi"/>
      <w:color w:val="88121D" w:themeColor="accent1" w:themeShade="BF"/>
      <w:sz w:val="32"/>
      <w:szCs w:val="32"/>
      <w:lang w:val="pl-PL"/>
    </w:rPr>
  </w:style>
  <w:style w:type="paragraph" w:customStyle="1" w:styleId="Spistreci11">
    <w:name w:val="Spis treści 11"/>
    <w:basedOn w:val="Normalny"/>
    <w:next w:val="Normalny"/>
    <w:autoRedefine/>
    <w:uiPriority w:val="39"/>
    <w:unhideWhenUsed/>
    <w:rsid w:val="00FE05F7"/>
    <w:pPr>
      <w:tabs>
        <w:tab w:val="left" w:pos="660"/>
        <w:tab w:val="right" w:leader="dot" w:pos="9062"/>
      </w:tabs>
      <w:spacing w:before="0" w:after="0" w:line="240" w:lineRule="auto"/>
    </w:pPr>
    <w:rPr>
      <w:rFonts w:eastAsia="Times New Roman"/>
      <w:b/>
      <w:bCs/>
      <w:noProof/>
      <w:color w:val="B61928"/>
      <w:sz w:val="22"/>
      <w:szCs w:val="18"/>
    </w:rPr>
  </w:style>
  <w:style w:type="character" w:customStyle="1" w:styleId="Hipercze1">
    <w:name w:val="Hiperłącze1"/>
    <w:basedOn w:val="Domylnaczcionkaakapitu"/>
    <w:uiPriority w:val="99"/>
    <w:unhideWhenUsed/>
    <w:rsid w:val="00FE05F7"/>
    <w:rPr>
      <w:color w:val="B61928"/>
      <w:u w:val="single"/>
    </w:rPr>
  </w:style>
  <w:style w:type="table" w:customStyle="1" w:styleId="Tabelasiatki5ciemnaakcent111">
    <w:name w:val="Tabela siatki 5 — ciemna — akcent 111"/>
    <w:basedOn w:val="Standardowy"/>
    <w:uiPriority w:val="50"/>
    <w:rsid w:val="00FE05F7"/>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C9C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B6192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B6192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B6192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B61928"/>
      </w:tcPr>
    </w:tblStylePr>
    <w:tblStylePr w:type="band1Vert">
      <w:tblPr/>
      <w:tcPr>
        <w:shd w:val="clear" w:color="auto" w:fill="F0949C"/>
      </w:tcPr>
    </w:tblStylePr>
    <w:tblStylePr w:type="band1Horz">
      <w:tblPr/>
      <w:tcPr>
        <w:shd w:val="clear" w:color="auto" w:fill="F0949C"/>
      </w:tcPr>
    </w:tblStylePr>
  </w:style>
  <w:style w:type="paragraph" w:customStyle="1" w:styleId="Tekstkomentarza1">
    <w:name w:val="Tekst komentarza1"/>
    <w:basedOn w:val="Normalny"/>
    <w:next w:val="Tekstkomentarza"/>
    <w:uiPriority w:val="99"/>
    <w:unhideWhenUsed/>
    <w:rsid w:val="00FE05F7"/>
    <w:pPr>
      <w:spacing w:before="0" w:after="200" w:line="240" w:lineRule="auto"/>
      <w:jc w:val="both"/>
    </w:pPr>
    <w:rPr>
      <w:rFonts w:eastAsia="Calibri"/>
      <w:sz w:val="22"/>
      <w:szCs w:val="22"/>
      <w:lang w:val="en-US"/>
    </w:rPr>
  </w:style>
  <w:style w:type="paragraph" w:customStyle="1" w:styleId="Tematkomentarza1">
    <w:name w:val="Temat komentarza1"/>
    <w:basedOn w:val="Tekstkomentarza"/>
    <w:next w:val="Tekstkomentarza"/>
    <w:uiPriority w:val="99"/>
    <w:semiHidden/>
    <w:unhideWhenUsed/>
    <w:rsid w:val="00FE05F7"/>
    <w:pPr>
      <w:spacing w:before="100" w:after="100"/>
      <w:jc w:val="left"/>
    </w:pPr>
    <w:rPr>
      <w:rFonts w:eastAsia="Times New Roman"/>
      <w:b/>
      <w:bCs/>
    </w:rPr>
  </w:style>
  <w:style w:type="character" w:customStyle="1" w:styleId="UyteHipercze1">
    <w:name w:val="UżyteHiperłącze1"/>
    <w:basedOn w:val="Domylnaczcionkaakapitu"/>
    <w:uiPriority w:val="99"/>
    <w:semiHidden/>
    <w:unhideWhenUsed/>
    <w:rsid w:val="00FE05F7"/>
    <w:rPr>
      <w:color w:val="7F7F7F"/>
      <w:u w:val="single"/>
    </w:rPr>
  </w:style>
  <w:style w:type="table" w:customStyle="1" w:styleId="Tabelasiatki5ciemnaakcent211">
    <w:name w:val="Tabela siatki 5 — ciemna — akcent 211"/>
    <w:basedOn w:val="Standardowy"/>
    <w:next w:val="Tabelasiatki5ciemnaakcent22"/>
    <w:uiPriority w:val="50"/>
    <w:rsid w:val="00FE05F7"/>
    <w:pPr>
      <w:spacing w:before="0" w:after="0" w:line="240" w:lineRule="auto"/>
    </w:pPr>
    <w:rPr>
      <w:rFonts w:eastAsiaTheme="minorHAns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E4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2796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2796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2796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2796D"/>
      </w:tcPr>
    </w:tblStylePr>
    <w:tblStylePr w:type="band1Vert">
      <w:tblPr/>
      <w:tcPr>
        <w:shd w:val="clear" w:color="auto" w:fill="EDC9C4"/>
      </w:tcPr>
    </w:tblStylePr>
    <w:tblStylePr w:type="band1Horz">
      <w:tblPr/>
      <w:tcPr>
        <w:shd w:val="clear" w:color="auto" w:fill="EDC9C4"/>
      </w:tcPr>
    </w:tblStylePr>
  </w:style>
  <w:style w:type="table" w:customStyle="1" w:styleId="Tabelasiatki5ciemnaakcent121">
    <w:name w:val="Tabela siatki 5 — ciemna — akcent 121"/>
    <w:basedOn w:val="Standardowy"/>
    <w:next w:val="Tabelasiatki5ciemnaakcent13"/>
    <w:uiPriority w:val="50"/>
    <w:rsid w:val="00FE05F7"/>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C9C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B6192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B6192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B6192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B61928"/>
      </w:tcPr>
    </w:tblStylePr>
    <w:tblStylePr w:type="band1Vert">
      <w:tblPr/>
      <w:tcPr>
        <w:shd w:val="clear" w:color="auto" w:fill="F0949C"/>
      </w:tcPr>
    </w:tblStylePr>
    <w:tblStylePr w:type="band1Horz">
      <w:tblPr/>
      <w:tcPr>
        <w:shd w:val="clear" w:color="auto" w:fill="F0949C"/>
      </w:tcPr>
    </w:tblStylePr>
  </w:style>
  <w:style w:type="table" w:customStyle="1" w:styleId="Tabelasiatki4akcent121">
    <w:name w:val="Tabela siatki 4 — akcent 121"/>
    <w:basedOn w:val="Standardowy"/>
    <w:next w:val="Tabelasiatki4akcent13"/>
    <w:uiPriority w:val="49"/>
    <w:rsid w:val="00FE05F7"/>
    <w:pPr>
      <w:spacing w:after="0" w:line="240" w:lineRule="auto"/>
    </w:pPr>
    <w:rPr>
      <w:rFonts w:eastAsia="Times New Roman"/>
    </w:rPr>
    <w:tblPr>
      <w:tblStyleRowBandSize w:val="1"/>
      <w:tblStyleColBandSize w:val="1"/>
      <w:tblBorders>
        <w:top w:val="single" w:sz="4" w:space="0" w:color="E95F6B"/>
        <w:left w:val="single" w:sz="4" w:space="0" w:color="E95F6B"/>
        <w:bottom w:val="single" w:sz="4" w:space="0" w:color="E95F6B"/>
        <w:right w:val="single" w:sz="4" w:space="0" w:color="E95F6B"/>
        <w:insideH w:val="single" w:sz="4" w:space="0" w:color="E95F6B"/>
        <w:insideV w:val="single" w:sz="4" w:space="0" w:color="E95F6B"/>
      </w:tblBorders>
    </w:tblPr>
    <w:tblStylePr w:type="firstRow">
      <w:rPr>
        <w:b/>
        <w:bCs/>
        <w:color w:val="FFFFFF"/>
      </w:rPr>
      <w:tblPr/>
      <w:tcPr>
        <w:tcBorders>
          <w:top w:val="single" w:sz="4" w:space="0" w:color="B61928"/>
          <w:left w:val="single" w:sz="4" w:space="0" w:color="B61928"/>
          <w:bottom w:val="single" w:sz="4" w:space="0" w:color="B61928"/>
          <w:right w:val="single" w:sz="4" w:space="0" w:color="B61928"/>
          <w:insideH w:val="nil"/>
          <w:insideV w:val="nil"/>
        </w:tcBorders>
        <w:shd w:val="clear" w:color="auto" w:fill="B61928"/>
      </w:tcPr>
    </w:tblStylePr>
    <w:tblStylePr w:type="lastRow">
      <w:rPr>
        <w:b/>
        <w:bCs/>
      </w:rPr>
      <w:tblPr/>
      <w:tcPr>
        <w:tcBorders>
          <w:top w:val="double" w:sz="4" w:space="0" w:color="B61928"/>
        </w:tcBorders>
      </w:tcPr>
    </w:tblStylePr>
    <w:tblStylePr w:type="firstCol">
      <w:rPr>
        <w:b/>
        <w:bCs/>
      </w:rPr>
    </w:tblStylePr>
    <w:tblStylePr w:type="lastCol">
      <w:rPr>
        <w:b/>
        <w:bCs/>
      </w:rPr>
    </w:tblStylePr>
    <w:tblStylePr w:type="band1Vert">
      <w:tblPr/>
      <w:tcPr>
        <w:shd w:val="clear" w:color="auto" w:fill="F7C9CD"/>
      </w:tcPr>
    </w:tblStylePr>
    <w:tblStylePr w:type="band1Horz">
      <w:tblPr/>
      <w:tcPr>
        <w:shd w:val="clear" w:color="auto" w:fill="F7C9CD"/>
      </w:tcPr>
    </w:tblStylePr>
  </w:style>
  <w:style w:type="character" w:customStyle="1" w:styleId="Nagwek2Znak1">
    <w:name w:val="Nagłówek 2 Znak1"/>
    <w:basedOn w:val="Domylnaczcionkaakapitu"/>
    <w:uiPriority w:val="9"/>
    <w:semiHidden/>
    <w:rsid w:val="00FE05F7"/>
    <w:rPr>
      <w:rFonts w:asciiTheme="majorHAnsi" w:eastAsiaTheme="majorEastAsia" w:hAnsiTheme="majorHAnsi" w:cstheme="majorBidi"/>
      <w:color w:val="88121D" w:themeColor="accent1" w:themeShade="BF"/>
      <w:sz w:val="26"/>
      <w:szCs w:val="26"/>
      <w:lang w:val="pl-PL"/>
    </w:rPr>
  </w:style>
  <w:style w:type="character" w:customStyle="1" w:styleId="Nagwek3Znak1">
    <w:name w:val="Nagłówek 3 Znak1"/>
    <w:basedOn w:val="Domylnaczcionkaakapitu"/>
    <w:uiPriority w:val="9"/>
    <w:semiHidden/>
    <w:rsid w:val="00FE05F7"/>
    <w:rPr>
      <w:rFonts w:asciiTheme="majorHAnsi" w:eastAsiaTheme="majorEastAsia" w:hAnsiTheme="majorHAnsi" w:cstheme="majorBidi"/>
      <w:color w:val="5A0C13" w:themeColor="accent1" w:themeShade="7F"/>
      <w:sz w:val="24"/>
      <w:szCs w:val="24"/>
      <w:lang w:val="pl-PL"/>
    </w:rPr>
  </w:style>
  <w:style w:type="character" w:customStyle="1" w:styleId="Nagwek4Znak1">
    <w:name w:val="Nagłówek 4 Znak1"/>
    <w:basedOn w:val="Domylnaczcionkaakapitu"/>
    <w:uiPriority w:val="9"/>
    <w:semiHidden/>
    <w:rsid w:val="00FE05F7"/>
    <w:rPr>
      <w:rFonts w:asciiTheme="majorHAnsi" w:eastAsiaTheme="majorEastAsia" w:hAnsiTheme="majorHAnsi" w:cstheme="majorBidi"/>
      <w:i/>
      <w:iCs/>
      <w:color w:val="88121D" w:themeColor="accent1" w:themeShade="BF"/>
      <w:lang w:val="pl-PL"/>
    </w:rPr>
  </w:style>
  <w:style w:type="character" w:customStyle="1" w:styleId="Nagwek5Znak1">
    <w:name w:val="Nagłówek 5 Znak1"/>
    <w:basedOn w:val="Domylnaczcionkaakapitu"/>
    <w:uiPriority w:val="9"/>
    <w:semiHidden/>
    <w:rsid w:val="00FE05F7"/>
    <w:rPr>
      <w:rFonts w:asciiTheme="majorHAnsi" w:eastAsiaTheme="majorEastAsia" w:hAnsiTheme="majorHAnsi" w:cstheme="majorBidi"/>
      <w:color w:val="88121D" w:themeColor="accent1" w:themeShade="BF"/>
      <w:lang w:val="pl-PL"/>
    </w:rPr>
  </w:style>
  <w:style w:type="character" w:customStyle="1" w:styleId="Nagwek6Znak1">
    <w:name w:val="Nagłówek 6 Znak1"/>
    <w:basedOn w:val="Domylnaczcionkaakapitu"/>
    <w:uiPriority w:val="9"/>
    <w:semiHidden/>
    <w:rsid w:val="00FE05F7"/>
    <w:rPr>
      <w:rFonts w:asciiTheme="majorHAnsi" w:eastAsiaTheme="majorEastAsia" w:hAnsiTheme="majorHAnsi" w:cstheme="majorBidi"/>
      <w:color w:val="5A0C13" w:themeColor="accent1" w:themeShade="7F"/>
      <w:lang w:val="pl-PL"/>
    </w:rPr>
  </w:style>
  <w:style w:type="character" w:customStyle="1" w:styleId="Nagwek7Znak1">
    <w:name w:val="Nagłówek 7 Znak1"/>
    <w:basedOn w:val="Domylnaczcionkaakapitu"/>
    <w:uiPriority w:val="9"/>
    <w:semiHidden/>
    <w:rsid w:val="00FE05F7"/>
    <w:rPr>
      <w:rFonts w:asciiTheme="majorHAnsi" w:eastAsiaTheme="majorEastAsia" w:hAnsiTheme="majorHAnsi" w:cstheme="majorBidi"/>
      <w:i/>
      <w:iCs/>
      <w:color w:val="5A0C13" w:themeColor="accent1" w:themeShade="7F"/>
      <w:lang w:val="pl-PL"/>
    </w:rPr>
  </w:style>
  <w:style w:type="character" w:customStyle="1" w:styleId="TytuZnak1">
    <w:name w:val="Tytuł Znak1"/>
    <w:basedOn w:val="Domylnaczcionkaakapitu"/>
    <w:uiPriority w:val="10"/>
    <w:rsid w:val="00FE05F7"/>
    <w:rPr>
      <w:rFonts w:asciiTheme="majorHAnsi" w:eastAsiaTheme="majorEastAsia" w:hAnsiTheme="majorHAnsi" w:cstheme="majorBidi"/>
      <w:spacing w:val="-10"/>
      <w:kern w:val="28"/>
      <w:sz w:val="56"/>
      <w:szCs w:val="56"/>
      <w:lang w:val="pl-PL"/>
    </w:rPr>
  </w:style>
  <w:style w:type="character" w:customStyle="1" w:styleId="PodtytuZnak1">
    <w:name w:val="Podtytuł Znak1"/>
    <w:basedOn w:val="Domylnaczcionkaakapitu"/>
    <w:uiPriority w:val="11"/>
    <w:rsid w:val="00FE05F7"/>
    <w:rPr>
      <w:rFonts w:eastAsiaTheme="minorEastAsia"/>
      <w:color w:val="989D9F" w:themeColor="text1" w:themeTint="A5"/>
      <w:spacing w:val="15"/>
      <w:lang w:val="pl-PL"/>
    </w:rPr>
  </w:style>
  <w:style w:type="character" w:customStyle="1" w:styleId="CytatintensywnyZnak1">
    <w:name w:val="Cytat intensywny Znak1"/>
    <w:basedOn w:val="Domylnaczcionkaakapitu"/>
    <w:uiPriority w:val="30"/>
    <w:rsid w:val="00FE05F7"/>
    <w:rPr>
      <w:i/>
      <w:iCs/>
      <w:color w:val="B61928" w:themeColor="accent1"/>
      <w:lang w:val="pl-PL"/>
    </w:rPr>
  </w:style>
  <w:style w:type="character" w:customStyle="1" w:styleId="TekstkomentarzaZnak1">
    <w:name w:val="Tekst komentarza Znak1"/>
    <w:basedOn w:val="Domylnaczcionkaakapitu"/>
    <w:uiPriority w:val="99"/>
    <w:semiHidden/>
    <w:rsid w:val="00FE05F7"/>
    <w:rPr>
      <w:sz w:val="20"/>
      <w:szCs w:val="20"/>
      <w:lang w:val="pl-PL"/>
    </w:rPr>
  </w:style>
  <w:style w:type="character" w:customStyle="1" w:styleId="TematkomentarzaZnak1">
    <w:name w:val="Temat komentarza Znak1"/>
    <w:basedOn w:val="TekstkomentarzaZnak1"/>
    <w:uiPriority w:val="99"/>
    <w:semiHidden/>
    <w:rsid w:val="00FE05F7"/>
    <w:rPr>
      <w:b/>
      <w:bCs/>
      <w:sz w:val="20"/>
      <w:szCs w:val="20"/>
      <w:lang w:val="pl-PL"/>
    </w:rPr>
  </w:style>
  <w:style w:type="table" w:customStyle="1" w:styleId="Tabelasiatki5ciemnaakcent22">
    <w:name w:val="Tabela siatki 5 — ciemna — akcent 22"/>
    <w:basedOn w:val="Standardowy"/>
    <w:uiPriority w:val="50"/>
    <w:rsid w:val="00FE05F7"/>
    <w:pPr>
      <w:spacing w:before="0" w:after="0" w:line="240" w:lineRule="auto"/>
    </w:pPr>
    <w:rPr>
      <w:rFonts w:eastAsiaTheme="minorHAnsi"/>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4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796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796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796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796D" w:themeFill="accent2"/>
      </w:tcPr>
    </w:tblStylePr>
    <w:tblStylePr w:type="band1Vert">
      <w:tblPr/>
      <w:tcPr>
        <w:shd w:val="clear" w:color="auto" w:fill="EDC9C4" w:themeFill="accent2" w:themeFillTint="66"/>
      </w:tcPr>
    </w:tblStylePr>
    <w:tblStylePr w:type="band1Horz">
      <w:tblPr/>
      <w:tcPr>
        <w:shd w:val="clear" w:color="auto" w:fill="EDC9C4" w:themeFill="accent2" w:themeFillTint="66"/>
      </w:tcPr>
    </w:tblStylePr>
  </w:style>
  <w:style w:type="table" w:customStyle="1" w:styleId="Tabelasiatki5ciemnaakcent13">
    <w:name w:val="Tabela siatki 5 — ciemna — akcent 13"/>
    <w:basedOn w:val="Standardowy"/>
    <w:uiPriority w:val="50"/>
    <w:rsid w:val="00FE05F7"/>
    <w:pPr>
      <w:spacing w:before="0" w:after="0" w:line="240" w:lineRule="auto"/>
    </w:pPr>
    <w:rPr>
      <w:rFonts w:eastAsiaTheme="minorHAnsi"/>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9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19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19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19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1928" w:themeFill="accent1"/>
      </w:tcPr>
    </w:tblStylePr>
    <w:tblStylePr w:type="band1Vert">
      <w:tblPr/>
      <w:tcPr>
        <w:shd w:val="clear" w:color="auto" w:fill="F0949C" w:themeFill="accent1" w:themeFillTint="66"/>
      </w:tcPr>
    </w:tblStylePr>
    <w:tblStylePr w:type="band1Horz">
      <w:tblPr/>
      <w:tcPr>
        <w:shd w:val="clear" w:color="auto" w:fill="F0949C" w:themeFill="accent1" w:themeFillTint="66"/>
      </w:tcPr>
    </w:tblStylePr>
  </w:style>
  <w:style w:type="table" w:customStyle="1" w:styleId="Tabelasiatki4akcent13">
    <w:name w:val="Tabela siatki 4 — akcent 13"/>
    <w:basedOn w:val="Standardowy"/>
    <w:uiPriority w:val="49"/>
    <w:rsid w:val="00FE05F7"/>
    <w:pPr>
      <w:spacing w:before="0" w:after="0" w:line="240" w:lineRule="auto"/>
    </w:pPr>
    <w:rPr>
      <w:rFonts w:eastAsiaTheme="minorHAnsi"/>
      <w:sz w:val="22"/>
      <w:szCs w:val="22"/>
      <w:lang w:val="en-US"/>
    </w:rPr>
    <w:tblPr>
      <w:tblStyleRowBandSize w:val="1"/>
      <w:tblStyleColBandSize w:val="1"/>
      <w:tblBorders>
        <w:top w:val="single" w:sz="4" w:space="0" w:color="E95F6B" w:themeColor="accent1" w:themeTint="99"/>
        <w:left w:val="single" w:sz="4" w:space="0" w:color="E95F6B" w:themeColor="accent1" w:themeTint="99"/>
        <w:bottom w:val="single" w:sz="4" w:space="0" w:color="E95F6B" w:themeColor="accent1" w:themeTint="99"/>
        <w:right w:val="single" w:sz="4" w:space="0" w:color="E95F6B" w:themeColor="accent1" w:themeTint="99"/>
        <w:insideH w:val="single" w:sz="4" w:space="0" w:color="E95F6B" w:themeColor="accent1" w:themeTint="99"/>
        <w:insideV w:val="single" w:sz="4" w:space="0" w:color="E95F6B" w:themeColor="accent1" w:themeTint="99"/>
      </w:tblBorders>
    </w:tblPr>
    <w:tblStylePr w:type="firstRow">
      <w:rPr>
        <w:b/>
        <w:bCs/>
        <w:color w:val="FFFFFF" w:themeColor="background1"/>
      </w:rPr>
      <w:tblPr/>
      <w:tcPr>
        <w:tcBorders>
          <w:top w:val="single" w:sz="4" w:space="0" w:color="B61928" w:themeColor="accent1"/>
          <w:left w:val="single" w:sz="4" w:space="0" w:color="B61928" w:themeColor="accent1"/>
          <w:bottom w:val="single" w:sz="4" w:space="0" w:color="B61928" w:themeColor="accent1"/>
          <w:right w:val="single" w:sz="4" w:space="0" w:color="B61928" w:themeColor="accent1"/>
          <w:insideH w:val="nil"/>
          <w:insideV w:val="nil"/>
        </w:tcBorders>
        <w:shd w:val="clear" w:color="auto" w:fill="B61928" w:themeFill="accent1"/>
      </w:tcPr>
    </w:tblStylePr>
    <w:tblStylePr w:type="lastRow">
      <w:rPr>
        <w:b/>
        <w:bCs/>
      </w:rPr>
      <w:tblPr/>
      <w:tcPr>
        <w:tcBorders>
          <w:top w:val="double" w:sz="4" w:space="0" w:color="B61928" w:themeColor="accent1"/>
        </w:tcBorders>
      </w:tcPr>
    </w:tblStylePr>
    <w:tblStylePr w:type="firstCol">
      <w:rPr>
        <w:b/>
        <w:bCs/>
      </w:rPr>
    </w:tblStylePr>
    <w:tblStylePr w:type="lastCol">
      <w:rPr>
        <w:b/>
        <w:bCs/>
      </w:rPr>
    </w:tblStylePr>
    <w:tblStylePr w:type="band1Vert">
      <w:tblPr/>
      <w:tcPr>
        <w:shd w:val="clear" w:color="auto" w:fill="F7C9CD" w:themeFill="accent1" w:themeFillTint="33"/>
      </w:tcPr>
    </w:tblStylePr>
    <w:tblStylePr w:type="band1Horz">
      <w:tblPr/>
      <w:tcPr>
        <w:shd w:val="clear" w:color="auto" w:fill="F7C9CD" w:themeFill="accent1" w:themeFillTint="33"/>
      </w:tcPr>
    </w:tblStylePr>
  </w:style>
  <w:style w:type="paragraph" w:styleId="Spisilustracji">
    <w:name w:val="table of figures"/>
    <w:basedOn w:val="Normalny"/>
    <w:next w:val="Normalny"/>
    <w:uiPriority w:val="99"/>
    <w:unhideWhenUsed/>
    <w:rsid w:val="00174D79"/>
    <w:pPr>
      <w:spacing w:after="0"/>
    </w:pPr>
  </w:style>
  <w:style w:type="paragraph" w:styleId="Tekstprzypisukocowego">
    <w:name w:val="endnote text"/>
    <w:basedOn w:val="Normalny"/>
    <w:link w:val="TekstprzypisukocowegoZnak"/>
    <w:uiPriority w:val="99"/>
    <w:semiHidden/>
    <w:unhideWhenUsed/>
    <w:rsid w:val="00174D79"/>
    <w:pPr>
      <w:spacing w:before="0"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174D79"/>
  </w:style>
  <w:style w:type="character" w:styleId="Odwoanieprzypisukocowego">
    <w:name w:val="endnote reference"/>
    <w:basedOn w:val="Domylnaczcionkaakapitu"/>
    <w:uiPriority w:val="99"/>
    <w:semiHidden/>
    <w:unhideWhenUsed/>
    <w:rsid w:val="00174D79"/>
    <w:rPr>
      <w:vertAlign w:val="superscript"/>
    </w:rPr>
  </w:style>
  <w:style w:type="table" w:customStyle="1" w:styleId="Tabelasiatki5ciemnaakcent23">
    <w:name w:val="Tabela siatki 5 — ciemna — akcent 23"/>
    <w:basedOn w:val="Standardowy"/>
    <w:uiPriority w:val="50"/>
    <w:rsid w:val="00F77CEF"/>
    <w:pPr>
      <w:spacing w:before="0" w:after="0" w:line="240" w:lineRule="auto"/>
    </w:pPr>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4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796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796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796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796D" w:themeFill="accent2"/>
      </w:tcPr>
    </w:tblStylePr>
    <w:tblStylePr w:type="band1Vert">
      <w:tblPr/>
      <w:tcPr>
        <w:shd w:val="clear" w:color="auto" w:fill="EDC9C4" w:themeFill="accent2" w:themeFillTint="66"/>
      </w:tcPr>
    </w:tblStylePr>
    <w:tblStylePr w:type="band1Horz">
      <w:tblPr/>
      <w:tcPr>
        <w:shd w:val="clear" w:color="auto" w:fill="EDC9C4" w:themeFill="accent2" w:themeFillTint="66"/>
      </w:tcPr>
    </w:tblStylePr>
  </w:style>
  <w:style w:type="table" w:customStyle="1" w:styleId="Tabelasiatki5ciemnaakcent14">
    <w:name w:val="Tabela siatki 5 — ciemna — akcent 14"/>
    <w:basedOn w:val="Standardowy"/>
    <w:uiPriority w:val="50"/>
    <w:rsid w:val="00F77C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9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19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19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19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1928" w:themeFill="accent1"/>
      </w:tcPr>
    </w:tblStylePr>
    <w:tblStylePr w:type="band1Vert">
      <w:tblPr/>
      <w:tcPr>
        <w:shd w:val="clear" w:color="auto" w:fill="F0949C" w:themeFill="accent1" w:themeFillTint="66"/>
      </w:tcPr>
    </w:tblStylePr>
    <w:tblStylePr w:type="band1Horz">
      <w:tblPr/>
      <w:tcPr>
        <w:shd w:val="clear" w:color="auto" w:fill="F0949C" w:themeFill="accent1" w:themeFillTint="66"/>
      </w:tcPr>
    </w:tblStylePr>
  </w:style>
  <w:style w:type="table" w:customStyle="1" w:styleId="Tabelasiatki4akcent14">
    <w:name w:val="Tabela siatki 4 — akcent 14"/>
    <w:basedOn w:val="Standardowy"/>
    <w:uiPriority w:val="49"/>
    <w:rsid w:val="00F77CEF"/>
    <w:pPr>
      <w:spacing w:after="0" w:line="240" w:lineRule="auto"/>
    </w:pPr>
    <w:tblPr>
      <w:tblStyleRowBandSize w:val="1"/>
      <w:tblStyleColBandSize w:val="1"/>
      <w:tblBorders>
        <w:top w:val="single" w:sz="4" w:space="0" w:color="E95F6B" w:themeColor="accent1" w:themeTint="99"/>
        <w:left w:val="single" w:sz="4" w:space="0" w:color="E95F6B" w:themeColor="accent1" w:themeTint="99"/>
        <w:bottom w:val="single" w:sz="4" w:space="0" w:color="E95F6B" w:themeColor="accent1" w:themeTint="99"/>
        <w:right w:val="single" w:sz="4" w:space="0" w:color="E95F6B" w:themeColor="accent1" w:themeTint="99"/>
        <w:insideH w:val="single" w:sz="4" w:space="0" w:color="E95F6B" w:themeColor="accent1" w:themeTint="99"/>
        <w:insideV w:val="single" w:sz="4" w:space="0" w:color="E95F6B" w:themeColor="accent1" w:themeTint="99"/>
      </w:tblBorders>
    </w:tblPr>
    <w:tblStylePr w:type="firstRow">
      <w:rPr>
        <w:b/>
        <w:bCs/>
        <w:color w:val="FFFFFF" w:themeColor="background1"/>
      </w:rPr>
      <w:tblPr/>
      <w:tcPr>
        <w:tcBorders>
          <w:top w:val="single" w:sz="4" w:space="0" w:color="B61928" w:themeColor="accent1"/>
          <w:left w:val="single" w:sz="4" w:space="0" w:color="B61928" w:themeColor="accent1"/>
          <w:bottom w:val="single" w:sz="4" w:space="0" w:color="B61928" w:themeColor="accent1"/>
          <w:right w:val="single" w:sz="4" w:space="0" w:color="B61928" w:themeColor="accent1"/>
          <w:insideH w:val="nil"/>
          <w:insideV w:val="nil"/>
        </w:tcBorders>
        <w:shd w:val="clear" w:color="auto" w:fill="B61928" w:themeFill="accent1"/>
      </w:tcPr>
    </w:tblStylePr>
    <w:tblStylePr w:type="lastRow">
      <w:rPr>
        <w:b/>
        <w:bCs/>
      </w:rPr>
      <w:tblPr/>
      <w:tcPr>
        <w:tcBorders>
          <w:top w:val="double" w:sz="4" w:space="0" w:color="B61928" w:themeColor="accent1"/>
        </w:tcBorders>
      </w:tcPr>
    </w:tblStylePr>
    <w:tblStylePr w:type="firstCol">
      <w:rPr>
        <w:b/>
        <w:bCs/>
      </w:rPr>
    </w:tblStylePr>
    <w:tblStylePr w:type="lastCol">
      <w:rPr>
        <w:b/>
        <w:bCs/>
      </w:rPr>
    </w:tblStylePr>
    <w:tblStylePr w:type="band1Vert">
      <w:tblPr/>
      <w:tcPr>
        <w:shd w:val="clear" w:color="auto" w:fill="F7C9CD" w:themeFill="accent1" w:themeFillTint="33"/>
      </w:tcPr>
    </w:tblStylePr>
    <w:tblStylePr w:type="band1Horz">
      <w:tblPr/>
      <w:tcPr>
        <w:shd w:val="clear" w:color="auto" w:fill="F7C9CD" w:themeFill="accent1" w:themeFillTint="33"/>
      </w:tcPr>
    </w:tblStylePr>
  </w:style>
  <w:style w:type="character" w:customStyle="1" w:styleId="Nierozpoznanawzmianka3">
    <w:name w:val="Nierozpoznana wzmianka3"/>
    <w:basedOn w:val="Domylnaczcionkaakapitu"/>
    <w:uiPriority w:val="99"/>
    <w:semiHidden/>
    <w:unhideWhenUsed/>
    <w:rsid w:val="00F77CEF"/>
    <w:rPr>
      <w:color w:val="605E5C"/>
      <w:shd w:val="clear" w:color="auto" w:fill="E1DFDD"/>
    </w:rPr>
  </w:style>
  <w:style w:type="table" w:styleId="Tabelalisty2akcent1">
    <w:name w:val="List Table 2 Accent 1"/>
    <w:basedOn w:val="Standardowy"/>
    <w:uiPriority w:val="47"/>
    <w:rsid w:val="00103394"/>
    <w:pPr>
      <w:spacing w:after="0" w:line="240" w:lineRule="auto"/>
    </w:pPr>
    <w:tblPr>
      <w:tblStyleRowBandSize w:val="1"/>
      <w:tblStyleColBandSize w:val="1"/>
      <w:tblBorders>
        <w:top w:val="single" w:sz="4" w:space="0" w:color="E95F6B" w:themeColor="accent1" w:themeTint="99"/>
        <w:bottom w:val="single" w:sz="4" w:space="0" w:color="E95F6B" w:themeColor="accent1" w:themeTint="99"/>
        <w:insideH w:val="single" w:sz="4" w:space="0" w:color="E95F6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9CD" w:themeFill="accent1" w:themeFillTint="33"/>
      </w:tcPr>
    </w:tblStylePr>
    <w:tblStylePr w:type="band1Horz">
      <w:tblPr/>
      <w:tcPr>
        <w:shd w:val="clear" w:color="auto" w:fill="F7C9CD" w:themeFill="accent1" w:themeFillTint="33"/>
      </w:tcPr>
    </w:tblStylePr>
  </w:style>
  <w:style w:type="table" w:styleId="Tabelalisty4akcent1">
    <w:name w:val="List Table 4 Accent 1"/>
    <w:basedOn w:val="Standardowy"/>
    <w:uiPriority w:val="49"/>
    <w:rsid w:val="00EB32FE"/>
    <w:pPr>
      <w:spacing w:after="0" w:line="240" w:lineRule="auto"/>
    </w:pPr>
    <w:tblPr>
      <w:tblStyleRowBandSize w:val="1"/>
      <w:tblStyleColBandSize w:val="1"/>
      <w:tblBorders>
        <w:top w:val="single" w:sz="4" w:space="0" w:color="E95F6B" w:themeColor="accent1" w:themeTint="99"/>
        <w:left w:val="single" w:sz="4" w:space="0" w:color="E95F6B" w:themeColor="accent1" w:themeTint="99"/>
        <w:bottom w:val="single" w:sz="4" w:space="0" w:color="E95F6B" w:themeColor="accent1" w:themeTint="99"/>
        <w:right w:val="single" w:sz="4" w:space="0" w:color="E95F6B" w:themeColor="accent1" w:themeTint="99"/>
        <w:insideH w:val="single" w:sz="4" w:space="0" w:color="E95F6B" w:themeColor="accent1" w:themeTint="99"/>
      </w:tblBorders>
    </w:tblPr>
    <w:tblStylePr w:type="firstRow">
      <w:rPr>
        <w:b/>
        <w:bCs/>
        <w:color w:val="FFFFFF" w:themeColor="background1"/>
      </w:rPr>
      <w:tblPr/>
      <w:tcPr>
        <w:tcBorders>
          <w:top w:val="single" w:sz="4" w:space="0" w:color="B61928" w:themeColor="accent1"/>
          <w:left w:val="single" w:sz="4" w:space="0" w:color="B61928" w:themeColor="accent1"/>
          <w:bottom w:val="single" w:sz="4" w:space="0" w:color="B61928" w:themeColor="accent1"/>
          <w:right w:val="single" w:sz="4" w:space="0" w:color="B61928" w:themeColor="accent1"/>
          <w:insideH w:val="nil"/>
        </w:tcBorders>
        <w:shd w:val="clear" w:color="auto" w:fill="B61928" w:themeFill="accent1"/>
      </w:tcPr>
    </w:tblStylePr>
    <w:tblStylePr w:type="lastRow">
      <w:rPr>
        <w:b/>
        <w:bCs/>
      </w:rPr>
      <w:tblPr/>
      <w:tcPr>
        <w:tcBorders>
          <w:top w:val="double" w:sz="4" w:space="0" w:color="E95F6B" w:themeColor="accent1" w:themeTint="99"/>
        </w:tcBorders>
      </w:tcPr>
    </w:tblStylePr>
    <w:tblStylePr w:type="firstCol">
      <w:rPr>
        <w:b/>
        <w:bCs/>
      </w:rPr>
    </w:tblStylePr>
    <w:tblStylePr w:type="lastCol">
      <w:rPr>
        <w:b/>
        <w:bCs/>
      </w:rPr>
    </w:tblStylePr>
    <w:tblStylePr w:type="band1Vert">
      <w:tblPr/>
      <w:tcPr>
        <w:shd w:val="clear" w:color="auto" w:fill="F7C9CD" w:themeFill="accent1" w:themeFillTint="33"/>
      </w:tcPr>
    </w:tblStylePr>
    <w:tblStylePr w:type="band1Horz">
      <w:tblPr/>
      <w:tcPr>
        <w:shd w:val="clear" w:color="auto" w:fill="F7C9CD" w:themeFill="accent1" w:themeFillTint="33"/>
      </w:tcPr>
    </w:tblStylePr>
  </w:style>
  <w:style w:type="table" w:styleId="Tabelalisty6kolorowaakcent1">
    <w:name w:val="List Table 6 Colorful Accent 1"/>
    <w:basedOn w:val="Standardowy"/>
    <w:uiPriority w:val="51"/>
    <w:rsid w:val="00EB32FE"/>
    <w:pPr>
      <w:spacing w:after="0" w:line="240" w:lineRule="auto"/>
    </w:pPr>
    <w:rPr>
      <w:color w:val="88121D" w:themeColor="accent1" w:themeShade="BF"/>
    </w:rPr>
    <w:tblPr>
      <w:tblStyleRowBandSize w:val="1"/>
      <w:tblStyleColBandSize w:val="1"/>
      <w:tblBorders>
        <w:top w:val="single" w:sz="4" w:space="0" w:color="B61928" w:themeColor="accent1"/>
        <w:bottom w:val="single" w:sz="4" w:space="0" w:color="B61928" w:themeColor="accent1"/>
      </w:tblBorders>
    </w:tblPr>
    <w:tblStylePr w:type="firstRow">
      <w:rPr>
        <w:b/>
        <w:bCs/>
      </w:rPr>
      <w:tblPr/>
      <w:tcPr>
        <w:tcBorders>
          <w:bottom w:val="single" w:sz="4" w:space="0" w:color="B61928" w:themeColor="accent1"/>
        </w:tcBorders>
      </w:tcPr>
    </w:tblStylePr>
    <w:tblStylePr w:type="lastRow">
      <w:rPr>
        <w:b/>
        <w:bCs/>
      </w:rPr>
      <w:tblPr/>
      <w:tcPr>
        <w:tcBorders>
          <w:top w:val="double" w:sz="4" w:space="0" w:color="B61928" w:themeColor="accent1"/>
        </w:tcBorders>
      </w:tcPr>
    </w:tblStylePr>
    <w:tblStylePr w:type="firstCol">
      <w:rPr>
        <w:b/>
        <w:bCs/>
      </w:rPr>
    </w:tblStylePr>
    <w:tblStylePr w:type="lastCol">
      <w:rPr>
        <w:b/>
        <w:bCs/>
      </w:rPr>
    </w:tblStylePr>
    <w:tblStylePr w:type="band1Vert">
      <w:tblPr/>
      <w:tcPr>
        <w:shd w:val="clear" w:color="auto" w:fill="F7C9CD" w:themeFill="accent1" w:themeFillTint="33"/>
      </w:tcPr>
    </w:tblStylePr>
    <w:tblStylePr w:type="band1Horz">
      <w:tblPr/>
      <w:tcPr>
        <w:shd w:val="clear" w:color="auto" w:fill="F7C9CD" w:themeFill="accent1" w:themeFillTint="33"/>
      </w:tcPr>
    </w:tblStylePr>
  </w:style>
  <w:style w:type="table" w:customStyle="1" w:styleId="Styl1">
    <w:name w:val="Styl1"/>
    <w:basedOn w:val="Standardowy"/>
    <w:uiPriority w:val="99"/>
    <w:rsid w:val="00774E22"/>
    <w:pPr>
      <w:spacing w:before="0" w:after="0" w:line="240" w:lineRule="auto"/>
    </w:pPr>
    <w:rPr>
      <w:szCs w:val="22"/>
    </w:rPr>
    <w:tblPr/>
    <w:tcPr>
      <w:shd w:val="clear" w:color="auto" w:fill="00ACA8"/>
    </w:tcPr>
  </w:style>
  <w:style w:type="table" w:customStyle="1" w:styleId="LightList-Accent51">
    <w:name w:val="Light List - Accent 51"/>
    <w:basedOn w:val="Standardowy"/>
    <w:next w:val="Jasnalistaakcent5"/>
    <w:uiPriority w:val="61"/>
    <w:rsid w:val="00774E22"/>
    <w:pPr>
      <w:spacing w:before="0" w:after="0" w:line="240" w:lineRule="auto"/>
    </w:pPr>
    <w:rPr>
      <w:rFonts w:eastAsia="Times New Roman" w:cs="Times New Roman"/>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Times New Roman"/>
        <w:b/>
        <w:bCs/>
        <w:color w:val="FFFFFF"/>
      </w:rPr>
      <w:tblPr/>
      <w:tcPr>
        <w:shd w:val="clear" w:color="auto" w:fill="4472C4"/>
      </w:tcPr>
    </w:tblStylePr>
    <w:tblStylePr w:type="lastRow">
      <w:pPr>
        <w:spacing w:before="0" w:after="0"/>
      </w:pPr>
      <w:rPr>
        <w:rFonts w:cs="Times New Roman"/>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tcBorders>
      </w:tcPr>
    </w:tblStylePr>
  </w:style>
  <w:style w:type="table" w:styleId="Jasnalistaakcent5">
    <w:name w:val="Light List Accent 5"/>
    <w:basedOn w:val="Standardowy"/>
    <w:uiPriority w:val="61"/>
    <w:semiHidden/>
    <w:unhideWhenUsed/>
    <w:rsid w:val="00774E22"/>
    <w:pPr>
      <w:spacing w:before="0" w:after="0" w:line="240" w:lineRule="auto"/>
    </w:pPr>
    <w:rPr>
      <w:sz w:val="22"/>
      <w:szCs w:val="22"/>
    </w:rPr>
    <w:tblPr>
      <w:tblStyleRowBandSize w:val="1"/>
      <w:tblStyleColBandSize w:val="1"/>
      <w:tblBorders>
        <w:top w:val="single" w:sz="8" w:space="0" w:color="0C7492" w:themeColor="accent5"/>
        <w:left w:val="single" w:sz="8" w:space="0" w:color="0C7492" w:themeColor="accent5"/>
        <w:bottom w:val="single" w:sz="8" w:space="0" w:color="0C7492" w:themeColor="accent5"/>
        <w:right w:val="single" w:sz="8" w:space="0" w:color="0C7492" w:themeColor="accent5"/>
      </w:tblBorders>
    </w:tblPr>
    <w:tblStylePr w:type="firstRow">
      <w:pPr>
        <w:spacing w:before="0" w:after="0" w:line="240" w:lineRule="auto"/>
      </w:pPr>
      <w:rPr>
        <w:b/>
        <w:bCs/>
        <w:color w:val="FFFFFF" w:themeColor="background1"/>
      </w:rPr>
      <w:tblPr/>
      <w:tcPr>
        <w:shd w:val="clear" w:color="auto" w:fill="0C7492" w:themeFill="accent5"/>
      </w:tcPr>
    </w:tblStylePr>
    <w:tblStylePr w:type="lastRow">
      <w:pPr>
        <w:spacing w:before="0" w:after="0" w:line="240" w:lineRule="auto"/>
      </w:pPr>
      <w:rPr>
        <w:b/>
        <w:bCs/>
      </w:rPr>
      <w:tblPr/>
      <w:tcPr>
        <w:tcBorders>
          <w:top w:val="double" w:sz="6" w:space="0" w:color="0C7492" w:themeColor="accent5"/>
          <w:left w:val="single" w:sz="8" w:space="0" w:color="0C7492" w:themeColor="accent5"/>
          <w:bottom w:val="single" w:sz="8" w:space="0" w:color="0C7492" w:themeColor="accent5"/>
          <w:right w:val="single" w:sz="8" w:space="0" w:color="0C7492" w:themeColor="accent5"/>
        </w:tcBorders>
      </w:tcPr>
    </w:tblStylePr>
    <w:tblStylePr w:type="firstCol">
      <w:rPr>
        <w:b/>
        <w:bCs/>
      </w:rPr>
    </w:tblStylePr>
    <w:tblStylePr w:type="lastCol">
      <w:rPr>
        <w:b/>
        <w:bCs/>
      </w:rPr>
    </w:tblStylePr>
    <w:tblStylePr w:type="band1Vert">
      <w:tblPr/>
      <w:tcPr>
        <w:tcBorders>
          <w:top w:val="single" w:sz="8" w:space="0" w:color="0C7492" w:themeColor="accent5"/>
          <w:left w:val="single" w:sz="8" w:space="0" w:color="0C7492" w:themeColor="accent5"/>
          <w:bottom w:val="single" w:sz="8" w:space="0" w:color="0C7492" w:themeColor="accent5"/>
          <w:right w:val="single" w:sz="8" w:space="0" w:color="0C7492" w:themeColor="accent5"/>
        </w:tcBorders>
      </w:tcPr>
    </w:tblStylePr>
    <w:tblStylePr w:type="band1Horz">
      <w:tblPr/>
      <w:tcPr>
        <w:tcBorders>
          <w:top w:val="single" w:sz="8" w:space="0" w:color="0C7492" w:themeColor="accent5"/>
          <w:left w:val="single" w:sz="8" w:space="0" w:color="0C7492" w:themeColor="accent5"/>
          <w:bottom w:val="single" w:sz="8" w:space="0" w:color="0C7492" w:themeColor="accent5"/>
          <w:right w:val="single" w:sz="8" w:space="0" w:color="0C7492" w:themeColor="accent5"/>
        </w:tcBorders>
      </w:tcPr>
    </w:tblStylePr>
  </w:style>
  <w:style w:type="table" w:customStyle="1" w:styleId="Tabelasiatki4akcent31">
    <w:name w:val="Tabela siatki 4 — akcent 31"/>
    <w:basedOn w:val="Standardowy"/>
    <w:uiPriority w:val="49"/>
    <w:rsid w:val="00774E22"/>
    <w:pPr>
      <w:spacing w:before="0" w:after="0" w:line="240" w:lineRule="auto"/>
    </w:pPr>
    <w:rPr>
      <w:sz w:val="22"/>
      <w:szCs w:val="22"/>
    </w:rPr>
    <w:tblPr>
      <w:tblStyleRowBandSize w:val="1"/>
      <w:tblStyleColBandSize w:val="1"/>
      <w:tblBorders>
        <w:top w:val="single" w:sz="4" w:space="0" w:color="9FA4A6" w:themeColor="accent3" w:themeTint="99"/>
        <w:left w:val="single" w:sz="4" w:space="0" w:color="9FA4A6" w:themeColor="accent3" w:themeTint="99"/>
        <w:bottom w:val="single" w:sz="4" w:space="0" w:color="9FA4A6" w:themeColor="accent3" w:themeTint="99"/>
        <w:right w:val="single" w:sz="4" w:space="0" w:color="9FA4A6" w:themeColor="accent3" w:themeTint="99"/>
        <w:insideH w:val="single" w:sz="4" w:space="0" w:color="9FA4A6" w:themeColor="accent3" w:themeTint="99"/>
        <w:insideV w:val="single" w:sz="4" w:space="0" w:color="9FA4A6" w:themeColor="accent3" w:themeTint="99"/>
      </w:tblBorders>
    </w:tblPr>
    <w:tblStylePr w:type="firstRow">
      <w:rPr>
        <w:b/>
        <w:bCs/>
        <w:color w:val="FFFFFF" w:themeColor="background1"/>
      </w:rPr>
      <w:tblPr/>
      <w:tcPr>
        <w:tcBorders>
          <w:top w:val="single" w:sz="4" w:space="0" w:color="626769" w:themeColor="accent3"/>
          <w:left w:val="single" w:sz="4" w:space="0" w:color="626769" w:themeColor="accent3"/>
          <w:bottom w:val="single" w:sz="4" w:space="0" w:color="626769" w:themeColor="accent3"/>
          <w:right w:val="single" w:sz="4" w:space="0" w:color="626769" w:themeColor="accent3"/>
          <w:insideH w:val="nil"/>
          <w:insideV w:val="nil"/>
        </w:tcBorders>
        <w:shd w:val="clear" w:color="auto" w:fill="626769" w:themeFill="accent3"/>
      </w:tcPr>
    </w:tblStylePr>
    <w:tblStylePr w:type="lastRow">
      <w:rPr>
        <w:b/>
        <w:bCs/>
      </w:rPr>
      <w:tblPr/>
      <w:tcPr>
        <w:tcBorders>
          <w:top w:val="double" w:sz="4" w:space="0" w:color="626769" w:themeColor="accent3"/>
        </w:tcBorders>
      </w:tcPr>
    </w:tblStylePr>
    <w:tblStylePr w:type="firstCol">
      <w:rPr>
        <w:b/>
        <w:bCs/>
      </w:rPr>
    </w:tblStylePr>
    <w:tblStylePr w:type="lastCol">
      <w:rPr>
        <w:b/>
        <w:bCs/>
      </w:rPr>
    </w:tblStylePr>
    <w:tblStylePr w:type="band1Vert">
      <w:tblPr/>
      <w:tcPr>
        <w:shd w:val="clear" w:color="auto" w:fill="DFE0E1" w:themeFill="accent3" w:themeFillTint="33"/>
      </w:tcPr>
    </w:tblStylePr>
    <w:tblStylePr w:type="band1Horz">
      <w:tblPr/>
      <w:tcPr>
        <w:shd w:val="clear" w:color="auto" w:fill="DFE0E1" w:themeFill="accent3" w:themeFillTint="33"/>
      </w:tcPr>
    </w:tblStylePr>
  </w:style>
  <w:style w:type="table" w:customStyle="1" w:styleId="Tabela-Siatka1">
    <w:name w:val="Tabela - Siatka1"/>
    <w:basedOn w:val="Standardowy"/>
    <w:next w:val="Tabela-Siatka"/>
    <w:uiPriority w:val="39"/>
    <w:rsid w:val="00774E22"/>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Tekstpodst">
    <w:name w:val="PAG_Tekst podst"/>
    <w:basedOn w:val="Normalny"/>
    <w:link w:val="PAGTekstpodstZnak"/>
    <w:uiPriority w:val="6"/>
    <w:qFormat/>
    <w:rsid w:val="00774E22"/>
    <w:pPr>
      <w:suppressAutoHyphens/>
      <w:spacing w:before="120" w:after="120" w:line="240" w:lineRule="auto"/>
      <w:ind w:left="851"/>
      <w:jc w:val="both"/>
    </w:pPr>
    <w:rPr>
      <w:rFonts w:ascii="Century Gothic" w:eastAsia="Calibri" w:hAnsi="Century Gothic" w:cs="Tahoma"/>
      <w:sz w:val="20"/>
      <w:lang w:eastAsia="ar-SA"/>
    </w:rPr>
  </w:style>
  <w:style w:type="character" w:customStyle="1" w:styleId="PAGTekstpodstZnak">
    <w:name w:val="PAG_Tekst podst Znak"/>
    <w:basedOn w:val="Domylnaczcionkaakapitu"/>
    <w:link w:val="PAGTekstpodst"/>
    <w:uiPriority w:val="6"/>
    <w:rsid w:val="00774E22"/>
    <w:rPr>
      <w:rFonts w:ascii="Century Gothic" w:eastAsia="Calibri" w:hAnsi="Century Gothic" w:cs="Tahoma"/>
      <w:lang w:eastAsia="ar-SA"/>
    </w:rPr>
  </w:style>
  <w:style w:type="table" w:customStyle="1" w:styleId="Tabelasiatki4akcent311">
    <w:name w:val="Tabela siatki 4 — akcent 311"/>
    <w:basedOn w:val="Standardowy"/>
    <w:next w:val="Tabelasiatki4akcent31"/>
    <w:uiPriority w:val="49"/>
    <w:rsid w:val="00774E22"/>
    <w:pPr>
      <w:spacing w:before="0" w:after="0" w:line="240" w:lineRule="auto"/>
    </w:pPr>
    <w:rPr>
      <w:rFonts w:eastAsia="Calibr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siatki5ciemnaakcent31">
    <w:name w:val="Tabela siatki 5 — ciemna — akcent 31"/>
    <w:basedOn w:val="Standardowy"/>
    <w:uiPriority w:val="50"/>
    <w:rsid w:val="00774E22"/>
    <w:pPr>
      <w:spacing w:before="0"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0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676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676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676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6769" w:themeFill="accent3"/>
      </w:tcPr>
    </w:tblStylePr>
    <w:tblStylePr w:type="band1Vert">
      <w:tblPr/>
      <w:tcPr>
        <w:shd w:val="clear" w:color="auto" w:fill="BFC2C3" w:themeFill="accent3" w:themeFillTint="66"/>
      </w:tcPr>
    </w:tblStylePr>
    <w:tblStylePr w:type="band1Horz">
      <w:tblPr/>
      <w:tcPr>
        <w:shd w:val="clear" w:color="auto" w:fill="BFC2C3" w:themeFill="accent3" w:themeFillTint="66"/>
      </w:tcPr>
    </w:tblStylePr>
  </w:style>
  <w:style w:type="paragraph" w:customStyle="1" w:styleId="normalnyinnolab">
    <w:name w:val="normalny_innolab"/>
    <w:basedOn w:val="Normalny"/>
    <w:qFormat/>
    <w:rsid w:val="00774E22"/>
    <w:pPr>
      <w:spacing w:before="120" w:after="120"/>
    </w:pPr>
    <w:rPr>
      <w:rFonts w:asciiTheme="majorHAnsi" w:eastAsiaTheme="minorHAnsi" w:hAnsiTheme="majorHAnsi" w:cstheme="majorHAnsi"/>
      <w:szCs w:val="24"/>
    </w:rPr>
  </w:style>
  <w:style w:type="character" w:customStyle="1" w:styleId="osoby-imie">
    <w:name w:val="osoby-imie"/>
    <w:basedOn w:val="Domylnaczcionkaakapitu"/>
    <w:rsid w:val="00774E22"/>
  </w:style>
  <w:style w:type="character" w:customStyle="1" w:styleId="osoby-funkcja">
    <w:name w:val="osoby-funkcja"/>
    <w:basedOn w:val="Domylnaczcionkaakapitu"/>
    <w:rsid w:val="00774E22"/>
  </w:style>
  <w:style w:type="paragraph" w:customStyle="1" w:styleId="Termslevel1">
    <w:name w:val="_Terms level 1"/>
    <w:basedOn w:val="Normalny"/>
    <w:rsid w:val="00774E22"/>
    <w:pPr>
      <w:numPr>
        <w:numId w:val="5"/>
      </w:numPr>
      <w:spacing w:before="0" w:after="160" w:line="259" w:lineRule="auto"/>
    </w:pPr>
    <w:rPr>
      <w:sz w:val="22"/>
      <w:szCs w:val="22"/>
    </w:rPr>
  </w:style>
  <w:style w:type="paragraph" w:customStyle="1" w:styleId="Termslevel2">
    <w:name w:val="_Terms level 2"/>
    <w:basedOn w:val="Normalny"/>
    <w:rsid w:val="00774E22"/>
    <w:pPr>
      <w:numPr>
        <w:ilvl w:val="1"/>
        <w:numId w:val="5"/>
      </w:numPr>
      <w:spacing w:before="0" w:after="160" w:line="259" w:lineRule="auto"/>
    </w:pPr>
    <w:rPr>
      <w:sz w:val="22"/>
      <w:szCs w:val="22"/>
    </w:rPr>
  </w:style>
  <w:style w:type="paragraph" w:customStyle="1" w:styleId="Termslevel3">
    <w:name w:val="_Terms level 3"/>
    <w:basedOn w:val="Normalny"/>
    <w:rsid w:val="00774E22"/>
    <w:pPr>
      <w:numPr>
        <w:ilvl w:val="2"/>
        <w:numId w:val="5"/>
      </w:numPr>
      <w:spacing w:before="0" w:after="160" w:line="259" w:lineRule="auto"/>
    </w:pPr>
    <w:rPr>
      <w:sz w:val="22"/>
      <w:szCs w:val="22"/>
    </w:rPr>
  </w:style>
  <w:style w:type="paragraph" w:styleId="Tekstpodstawowy">
    <w:name w:val="Body Text"/>
    <w:basedOn w:val="Normalny"/>
    <w:link w:val="TekstpodstawowyZnak"/>
    <w:uiPriority w:val="1"/>
    <w:qFormat/>
    <w:rsid w:val="00774E22"/>
    <w:pPr>
      <w:widowControl w:val="0"/>
      <w:autoSpaceDE w:val="0"/>
      <w:autoSpaceDN w:val="0"/>
      <w:spacing w:before="0" w:after="0" w:line="240" w:lineRule="auto"/>
      <w:ind w:left="116"/>
    </w:pPr>
    <w:rPr>
      <w:rFonts w:ascii="Calibri" w:eastAsia="Calibri" w:hAnsi="Calibri" w:cs="Calibri"/>
      <w:sz w:val="22"/>
      <w:szCs w:val="22"/>
      <w:lang w:eastAsia="pl-PL" w:bidi="pl-PL"/>
    </w:rPr>
  </w:style>
  <w:style w:type="character" w:customStyle="1" w:styleId="TekstpodstawowyZnak">
    <w:name w:val="Tekst podstawowy Znak"/>
    <w:basedOn w:val="Domylnaczcionkaakapitu"/>
    <w:link w:val="Tekstpodstawowy"/>
    <w:uiPriority w:val="1"/>
    <w:rsid w:val="00774E22"/>
    <w:rPr>
      <w:rFonts w:ascii="Calibri" w:eastAsia="Calibri" w:hAnsi="Calibri" w:cs="Calibri"/>
      <w:sz w:val="22"/>
      <w:szCs w:val="22"/>
      <w:lang w:eastAsia="pl-PL" w:bidi="pl-PL"/>
    </w:rPr>
  </w:style>
  <w:style w:type="character" w:styleId="Numerstrony">
    <w:name w:val="page number"/>
    <w:basedOn w:val="Domylnaczcionkaakapitu"/>
    <w:uiPriority w:val="99"/>
    <w:semiHidden/>
    <w:unhideWhenUsed/>
    <w:rsid w:val="00774E22"/>
  </w:style>
  <w:style w:type="paragraph" w:customStyle="1" w:styleId="Odpowied">
    <w:name w:val="Odpowiedź"/>
    <w:basedOn w:val="Normalny"/>
    <w:rsid w:val="00774E22"/>
    <w:pPr>
      <w:numPr>
        <w:numId w:val="18"/>
      </w:numPr>
      <w:spacing w:before="0" w:after="0" w:line="360" w:lineRule="auto"/>
      <w:ind w:left="0" w:firstLine="0"/>
    </w:pPr>
    <w:rPr>
      <w:rFonts w:ascii="Arial" w:eastAsia="Times New Roman" w:hAnsi="Arial" w:cs="Times New Roman"/>
      <w:sz w:val="22"/>
      <w:lang w:eastAsia="pl-PL"/>
    </w:rPr>
  </w:style>
  <w:style w:type="table" w:customStyle="1" w:styleId="Tabelasiatki1jasna1">
    <w:name w:val="Tabela siatki 1 — jasna1"/>
    <w:basedOn w:val="Standardowy"/>
    <w:uiPriority w:val="46"/>
    <w:rsid w:val="00774E22"/>
    <w:pPr>
      <w:spacing w:before="0" w:after="0" w:line="240" w:lineRule="auto"/>
    </w:pPr>
    <w:rPr>
      <w:sz w:val="22"/>
      <w:szCs w:val="22"/>
    </w:rPr>
    <w:tblPr>
      <w:tblStyleRowBandSize w:val="1"/>
      <w:tblStyleColBandSize w:val="1"/>
      <w:tblBorders>
        <w:top w:val="single" w:sz="4" w:space="0" w:color="BFC2C3" w:themeColor="text1" w:themeTint="66"/>
        <w:left w:val="single" w:sz="4" w:space="0" w:color="BFC2C3" w:themeColor="text1" w:themeTint="66"/>
        <w:bottom w:val="single" w:sz="4" w:space="0" w:color="BFC2C3" w:themeColor="text1" w:themeTint="66"/>
        <w:right w:val="single" w:sz="4" w:space="0" w:color="BFC2C3" w:themeColor="text1" w:themeTint="66"/>
        <w:insideH w:val="single" w:sz="4" w:space="0" w:color="BFC2C3" w:themeColor="text1" w:themeTint="66"/>
        <w:insideV w:val="single" w:sz="4" w:space="0" w:color="BFC2C3" w:themeColor="text1" w:themeTint="66"/>
      </w:tblBorders>
    </w:tblPr>
    <w:tblStylePr w:type="firstRow">
      <w:rPr>
        <w:b/>
        <w:bCs/>
      </w:rPr>
      <w:tblPr/>
      <w:tcPr>
        <w:tcBorders>
          <w:bottom w:val="single" w:sz="12" w:space="0" w:color="9FA4A6" w:themeColor="text1" w:themeTint="99"/>
        </w:tcBorders>
      </w:tcPr>
    </w:tblStylePr>
    <w:tblStylePr w:type="lastRow">
      <w:rPr>
        <w:b/>
        <w:bCs/>
      </w:rPr>
      <w:tblPr/>
      <w:tcPr>
        <w:tcBorders>
          <w:top w:val="double" w:sz="2" w:space="0" w:color="9FA4A6" w:themeColor="text1" w:themeTint="99"/>
        </w:tcBorders>
      </w:tcPr>
    </w:tblStylePr>
    <w:tblStylePr w:type="firstCol">
      <w:rPr>
        <w:b/>
        <w:bCs/>
      </w:rPr>
    </w:tblStylePr>
    <w:tblStylePr w:type="lastCol">
      <w:rPr>
        <w:b/>
        <w:bCs/>
      </w:rPr>
    </w:tblStylePr>
  </w:style>
  <w:style w:type="table" w:styleId="Jasnasiatkaakcent5">
    <w:name w:val="Light Grid Accent 5"/>
    <w:basedOn w:val="Standardowy"/>
    <w:uiPriority w:val="62"/>
    <w:rsid w:val="00774E22"/>
    <w:pPr>
      <w:spacing w:before="0" w:after="0" w:line="240" w:lineRule="auto"/>
    </w:pPr>
    <w:rPr>
      <w:rFonts w:eastAsiaTheme="minorHAnsi"/>
      <w:sz w:val="22"/>
      <w:szCs w:val="22"/>
      <w:lang w:val="en-US"/>
    </w:rPr>
    <w:tblPr>
      <w:tblStyleRowBandSize w:val="1"/>
      <w:tblStyleColBandSize w:val="1"/>
      <w:tblBorders>
        <w:top w:val="single" w:sz="8" w:space="0" w:color="0C7492" w:themeColor="accent5"/>
        <w:left w:val="single" w:sz="8" w:space="0" w:color="0C7492" w:themeColor="accent5"/>
        <w:bottom w:val="single" w:sz="8" w:space="0" w:color="0C7492" w:themeColor="accent5"/>
        <w:right w:val="single" w:sz="8" w:space="0" w:color="0C7492" w:themeColor="accent5"/>
        <w:insideH w:val="single" w:sz="8" w:space="0" w:color="0C7492" w:themeColor="accent5"/>
        <w:insideV w:val="single" w:sz="8" w:space="0" w:color="0C749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7492" w:themeColor="accent5"/>
          <w:left w:val="single" w:sz="8" w:space="0" w:color="0C7492" w:themeColor="accent5"/>
          <w:bottom w:val="single" w:sz="18" w:space="0" w:color="0C7492" w:themeColor="accent5"/>
          <w:right w:val="single" w:sz="8" w:space="0" w:color="0C7492" w:themeColor="accent5"/>
          <w:insideH w:val="nil"/>
          <w:insideV w:val="single" w:sz="8" w:space="0" w:color="0C749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7492" w:themeColor="accent5"/>
          <w:left w:val="single" w:sz="8" w:space="0" w:color="0C7492" w:themeColor="accent5"/>
          <w:bottom w:val="single" w:sz="8" w:space="0" w:color="0C7492" w:themeColor="accent5"/>
          <w:right w:val="single" w:sz="8" w:space="0" w:color="0C7492" w:themeColor="accent5"/>
          <w:insideH w:val="nil"/>
          <w:insideV w:val="single" w:sz="8" w:space="0" w:color="0C749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7492" w:themeColor="accent5"/>
          <w:left w:val="single" w:sz="8" w:space="0" w:color="0C7492" w:themeColor="accent5"/>
          <w:bottom w:val="single" w:sz="8" w:space="0" w:color="0C7492" w:themeColor="accent5"/>
          <w:right w:val="single" w:sz="8" w:space="0" w:color="0C7492" w:themeColor="accent5"/>
        </w:tcBorders>
      </w:tcPr>
    </w:tblStylePr>
    <w:tblStylePr w:type="band1Vert">
      <w:tblPr/>
      <w:tcPr>
        <w:tcBorders>
          <w:top w:val="single" w:sz="8" w:space="0" w:color="0C7492" w:themeColor="accent5"/>
          <w:left w:val="single" w:sz="8" w:space="0" w:color="0C7492" w:themeColor="accent5"/>
          <w:bottom w:val="single" w:sz="8" w:space="0" w:color="0C7492" w:themeColor="accent5"/>
          <w:right w:val="single" w:sz="8" w:space="0" w:color="0C7492" w:themeColor="accent5"/>
        </w:tcBorders>
        <w:shd w:val="clear" w:color="auto" w:fill="AEE7F8" w:themeFill="accent5" w:themeFillTint="3F"/>
      </w:tcPr>
    </w:tblStylePr>
    <w:tblStylePr w:type="band1Horz">
      <w:tblPr/>
      <w:tcPr>
        <w:tcBorders>
          <w:top w:val="single" w:sz="8" w:space="0" w:color="0C7492" w:themeColor="accent5"/>
          <w:left w:val="single" w:sz="8" w:space="0" w:color="0C7492" w:themeColor="accent5"/>
          <w:bottom w:val="single" w:sz="8" w:space="0" w:color="0C7492" w:themeColor="accent5"/>
          <w:right w:val="single" w:sz="8" w:space="0" w:color="0C7492" w:themeColor="accent5"/>
          <w:insideV w:val="single" w:sz="8" w:space="0" w:color="0C7492" w:themeColor="accent5"/>
        </w:tcBorders>
        <w:shd w:val="clear" w:color="auto" w:fill="AEE7F8" w:themeFill="accent5" w:themeFillTint="3F"/>
      </w:tcPr>
    </w:tblStylePr>
    <w:tblStylePr w:type="band2Horz">
      <w:tblPr/>
      <w:tcPr>
        <w:tcBorders>
          <w:top w:val="single" w:sz="8" w:space="0" w:color="0C7492" w:themeColor="accent5"/>
          <w:left w:val="single" w:sz="8" w:space="0" w:color="0C7492" w:themeColor="accent5"/>
          <w:bottom w:val="single" w:sz="8" w:space="0" w:color="0C7492" w:themeColor="accent5"/>
          <w:right w:val="single" w:sz="8" w:space="0" w:color="0C7492" w:themeColor="accent5"/>
          <w:insideV w:val="single" w:sz="8" w:space="0" w:color="0C7492" w:themeColor="accent5"/>
        </w:tcBorders>
      </w:tcPr>
    </w:tblStylePr>
  </w:style>
  <w:style w:type="table" w:customStyle="1" w:styleId="Jasnasiatkaakcent11">
    <w:name w:val="Jasna siatka — akcent 11"/>
    <w:basedOn w:val="Standardowy"/>
    <w:next w:val="Jasnasiatkaakcent1"/>
    <w:uiPriority w:val="62"/>
    <w:rsid w:val="00774E22"/>
    <w:pPr>
      <w:spacing w:before="0" w:after="0" w:line="240" w:lineRule="auto"/>
    </w:pPr>
    <w:rPr>
      <w:rFonts w:eastAsia="Times New Roman"/>
      <w:sz w:val="24"/>
      <w:szCs w:val="24"/>
      <w:lang w:val="cs-CZ" w:eastAsia="pl-PL"/>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Jasnasiatkaakcent1">
    <w:name w:val="Light Grid Accent 1"/>
    <w:basedOn w:val="Standardowy"/>
    <w:uiPriority w:val="62"/>
    <w:semiHidden/>
    <w:unhideWhenUsed/>
    <w:rsid w:val="00774E22"/>
    <w:pPr>
      <w:spacing w:before="0" w:after="0" w:line="240" w:lineRule="auto"/>
    </w:pPr>
    <w:rPr>
      <w:rFonts w:eastAsiaTheme="minorHAnsi"/>
      <w:sz w:val="22"/>
      <w:szCs w:val="22"/>
    </w:rPr>
    <w:tblPr>
      <w:tblStyleRowBandSize w:val="1"/>
      <w:tblStyleColBandSize w:val="1"/>
      <w:tblBorders>
        <w:top w:val="single" w:sz="8" w:space="0" w:color="B61928" w:themeColor="accent1"/>
        <w:left w:val="single" w:sz="8" w:space="0" w:color="B61928" w:themeColor="accent1"/>
        <w:bottom w:val="single" w:sz="8" w:space="0" w:color="B61928" w:themeColor="accent1"/>
        <w:right w:val="single" w:sz="8" w:space="0" w:color="B61928" w:themeColor="accent1"/>
        <w:insideH w:val="single" w:sz="8" w:space="0" w:color="B61928" w:themeColor="accent1"/>
        <w:insideV w:val="single" w:sz="8" w:space="0" w:color="B619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1928" w:themeColor="accent1"/>
          <w:left w:val="single" w:sz="8" w:space="0" w:color="B61928" w:themeColor="accent1"/>
          <w:bottom w:val="single" w:sz="18" w:space="0" w:color="B61928" w:themeColor="accent1"/>
          <w:right w:val="single" w:sz="8" w:space="0" w:color="B61928" w:themeColor="accent1"/>
          <w:insideH w:val="nil"/>
          <w:insideV w:val="single" w:sz="8" w:space="0" w:color="B619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1928" w:themeColor="accent1"/>
          <w:left w:val="single" w:sz="8" w:space="0" w:color="B61928" w:themeColor="accent1"/>
          <w:bottom w:val="single" w:sz="8" w:space="0" w:color="B61928" w:themeColor="accent1"/>
          <w:right w:val="single" w:sz="8" w:space="0" w:color="B61928" w:themeColor="accent1"/>
          <w:insideH w:val="nil"/>
          <w:insideV w:val="single" w:sz="8" w:space="0" w:color="B619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1928" w:themeColor="accent1"/>
          <w:left w:val="single" w:sz="8" w:space="0" w:color="B61928" w:themeColor="accent1"/>
          <w:bottom w:val="single" w:sz="8" w:space="0" w:color="B61928" w:themeColor="accent1"/>
          <w:right w:val="single" w:sz="8" w:space="0" w:color="B61928" w:themeColor="accent1"/>
        </w:tcBorders>
      </w:tcPr>
    </w:tblStylePr>
    <w:tblStylePr w:type="band1Vert">
      <w:tblPr/>
      <w:tcPr>
        <w:tcBorders>
          <w:top w:val="single" w:sz="8" w:space="0" w:color="B61928" w:themeColor="accent1"/>
          <w:left w:val="single" w:sz="8" w:space="0" w:color="B61928" w:themeColor="accent1"/>
          <w:bottom w:val="single" w:sz="8" w:space="0" w:color="B61928" w:themeColor="accent1"/>
          <w:right w:val="single" w:sz="8" w:space="0" w:color="B61928" w:themeColor="accent1"/>
        </w:tcBorders>
        <w:shd w:val="clear" w:color="auto" w:fill="F6BDC2" w:themeFill="accent1" w:themeFillTint="3F"/>
      </w:tcPr>
    </w:tblStylePr>
    <w:tblStylePr w:type="band1Horz">
      <w:tblPr/>
      <w:tcPr>
        <w:tcBorders>
          <w:top w:val="single" w:sz="8" w:space="0" w:color="B61928" w:themeColor="accent1"/>
          <w:left w:val="single" w:sz="8" w:space="0" w:color="B61928" w:themeColor="accent1"/>
          <w:bottom w:val="single" w:sz="8" w:space="0" w:color="B61928" w:themeColor="accent1"/>
          <w:right w:val="single" w:sz="8" w:space="0" w:color="B61928" w:themeColor="accent1"/>
          <w:insideV w:val="single" w:sz="8" w:space="0" w:color="B61928" w:themeColor="accent1"/>
        </w:tcBorders>
        <w:shd w:val="clear" w:color="auto" w:fill="F6BDC2" w:themeFill="accent1" w:themeFillTint="3F"/>
      </w:tcPr>
    </w:tblStylePr>
    <w:tblStylePr w:type="band2Horz">
      <w:tblPr/>
      <w:tcPr>
        <w:tcBorders>
          <w:top w:val="single" w:sz="8" w:space="0" w:color="B61928" w:themeColor="accent1"/>
          <w:left w:val="single" w:sz="8" w:space="0" w:color="B61928" w:themeColor="accent1"/>
          <w:bottom w:val="single" w:sz="8" w:space="0" w:color="B61928" w:themeColor="accent1"/>
          <w:right w:val="single" w:sz="8" w:space="0" w:color="B61928" w:themeColor="accent1"/>
          <w:insideV w:val="single" w:sz="8" w:space="0" w:color="B61928" w:themeColor="accent1"/>
        </w:tcBorders>
      </w:tcPr>
    </w:tblStylePr>
  </w:style>
  <w:style w:type="table" w:customStyle="1" w:styleId="Jasnasiatkaakcent12">
    <w:name w:val="Jasna siatka — akcent 12"/>
    <w:basedOn w:val="Standardowy"/>
    <w:next w:val="Jasnasiatkaakcent1"/>
    <w:uiPriority w:val="62"/>
    <w:rsid w:val="00774E22"/>
    <w:pPr>
      <w:spacing w:before="0" w:after="0" w:line="240" w:lineRule="auto"/>
    </w:pPr>
    <w:rPr>
      <w:rFonts w:eastAsia="Times New Roman"/>
      <w:sz w:val="24"/>
      <w:szCs w:val="24"/>
      <w:lang w:val="cs-CZ" w:eastAsia="pl-PL"/>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elasiatki4akcent51">
    <w:name w:val="Tabela siatki 4 — akcent 51"/>
    <w:basedOn w:val="Standardowy"/>
    <w:uiPriority w:val="49"/>
    <w:rsid w:val="00774E22"/>
    <w:pPr>
      <w:spacing w:before="0" w:after="0" w:line="240" w:lineRule="auto"/>
    </w:pPr>
    <w:rPr>
      <w:rFonts w:eastAsiaTheme="minorHAns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6kolorowaakcent11">
    <w:name w:val="Tabela siatki 6 — kolorowa — akcent 11"/>
    <w:basedOn w:val="Standardowy"/>
    <w:uiPriority w:val="51"/>
    <w:rsid w:val="00774E22"/>
    <w:pPr>
      <w:spacing w:before="0" w:after="0" w:line="240" w:lineRule="auto"/>
    </w:pPr>
    <w:rPr>
      <w:rFonts w:eastAsiaTheme="minorHAnsi"/>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nowy1">
    <w:name w:val="nowy1"/>
    <w:basedOn w:val="Standardowy"/>
    <w:next w:val="Tabela-Siatka"/>
    <w:uiPriority w:val="39"/>
    <w:rsid w:val="00774E22"/>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wy11">
    <w:name w:val="nowy11"/>
    <w:basedOn w:val="Standardowy"/>
    <w:next w:val="Tabela-Siatka"/>
    <w:uiPriority w:val="39"/>
    <w:rsid w:val="00774E22"/>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siatkaakcent511">
    <w:name w:val="Jasna siatka — akcent 511"/>
    <w:uiPriority w:val="62"/>
    <w:rsid w:val="00774E22"/>
    <w:pPr>
      <w:spacing w:before="0" w:after="0" w:line="240" w:lineRule="auto"/>
    </w:pPr>
    <w:rPr>
      <w:rFonts w:ascii="Calibri" w:eastAsia="Times New Roman" w:hAnsi="Calibri" w:cs="Times New Roman"/>
      <w:lang w:val="en-US"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libri" w:eastAsia="Times New Roman"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pPr>
      <w:rPr>
        <w:rFonts w:ascii="Calibri" w:eastAsia="Times New Roman"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Nierozpoznanawzmianka31">
    <w:name w:val="Nierozpoznana wzmianka31"/>
    <w:basedOn w:val="Domylnaczcionkaakapitu"/>
    <w:uiPriority w:val="99"/>
    <w:semiHidden/>
    <w:unhideWhenUsed/>
    <w:rsid w:val="00774E22"/>
    <w:rPr>
      <w:color w:val="605E5C"/>
      <w:shd w:val="clear" w:color="auto" w:fill="E1DFDD"/>
    </w:rPr>
  </w:style>
  <w:style w:type="paragraph" w:styleId="Spistreci4">
    <w:name w:val="toc 4"/>
    <w:basedOn w:val="Normalny"/>
    <w:next w:val="Normalny"/>
    <w:autoRedefine/>
    <w:uiPriority w:val="39"/>
    <w:unhideWhenUsed/>
    <w:rsid w:val="00774E22"/>
    <w:pPr>
      <w:spacing w:before="0" w:line="259" w:lineRule="auto"/>
      <w:ind w:left="660"/>
    </w:pPr>
    <w:rPr>
      <w:sz w:val="22"/>
      <w:szCs w:val="22"/>
      <w:lang w:eastAsia="pl-PL"/>
    </w:rPr>
  </w:style>
  <w:style w:type="paragraph" w:styleId="Spistreci5">
    <w:name w:val="toc 5"/>
    <w:basedOn w:val="Normalny"/>
    <w:next w:val="Normalny"/>
    <w:autoRedefine/>
    <w:uiPriority w:val="39"/>
    <w:unhideWhenUsed/>
    <w:rsid w:val="00774E22"/>
    <w:pPr>
      <w:spacing w:before="0" w:line="259" w:lineRule="auto"/>
      <w:ind w:left="880"/>
    </w:pPr>
    <w:rPr>
      <w:sz w:val="22"/>
      <w:szCs w:val="22"/>
      <w:lang w:eastAsia="pl-PL"/>
    </w:rPr>
  </w:style>
  <w:style w:type="paragraph" w:styleId="Spistreci6">
    <w:name w:val="toc 6"/>
    <w:basedOn w:val="Normalny"/>
    <w:next w:val="Normalny"/>
    <w:autoRedefine/>
    <w:uiPriority w:val="39"/>
    <w:unhideWhenUsed/>
    <w:rsid w:val="00774E22"/>
    <w:pPr>
      <w:spacing w:before="0" w:line="259" w:lineRule="auto"/>
      <w:ind w:left="1100"/>
    </w:pPr>
    <w:rPr>
      <w:sz w:val="22"/>
      <w:szCs w:val="22"/>
      <w:lang w:eastAsia="pl-PL"/>
    </w:rPr>
  </w:style>
  <w:style w:type="paragraph" w:styleId="Spistreci7">
    <w:name w:val="toc 7"/>
    <w:basedOn w:val="Normalny"/>
    <w:next w:val="Normalny"/>
    <w:autoRedefine/>
    <w:uiPriority w:val="39"/>
    <w:unhideWhenUsed/>
    <w:rsid w:val="00774E22"/>
    <w:pPr>
      <w:spacing w:before="0" w:line="259" w:lineRule="auto"/>
      <w:ind w:left="1320"/>
    </w:pPr>
    <w:rPr>
      <w:sz w:val="22"/>
      <w:szCs w:val="22"/>
      <w:lang w:eastAsia="pl-PL"/>
    </w:rPr>
  </w:style>
  <w:style w:type="paragraph" w:styleId="Spistreci8">
    <w:name w:val="toc 8"/>
    <w:basedOn w:val="Normalny"/>
    <w:next w:val="Normalny"/>
    <w:autoRedefine/>
    <w:uiPriority w:val="39"/>
    <w:unhideWhenUsed/>
    <w:rsid w:val="00774E22"/>
    <w:pPr>
      <w:spacing w:before="0" w:line="259" w:lineRule="auto"/>
      <w:ind w:left="1540"/>
    </w:pPr>
    <w:rPr>
      <w:sz w:val="22"/>
      <w:szCs w:val="22"/>
      <w:lang w:eastAsia="pl-PL"/>
    </w:rPr>
  </w:style>
  <w:style w:type="paragraph" w:styleId="Spistreci9">
    <w:name w:val="toc 9"/>
    <w:basedOn w:val="Normalny"/>
    <w:next w:val="Normalny"/>
    <w:autoRedefine/>
    <w:uiPriority w:val="39"/>
    <w:unhideWhenUsed/>
    <w:rsid w:val="00774E22"/>
    <w:pPr>
      <w:spacing w:before="0" w:line="259" w:lineRule="auto"/>
      <w:ind w:left="1760"/>
    </w:pPr>
    <w:rPr>
      <w:sz w:val="22"/>
      <w:szCs w:val="22"/>
      <w:lang w:eastAsia="pl-PL"/>
    </w:rPr>
  </w:style>
  <w:style w:type="character" w:customStyle="1" w:styleId="Nierozpoznanawzmianka4">
    <w:name w:val="Nierozpoznana wzmianka4"/>
    <w:basedOn w:val="Domylnaczcionkaakapitu"/>
    <w:uiPriority w:val="99"/>
    <w:semiHidden/>
    <w:unhideWhenUsed/>
    <w:rsid w:val="00774E22"/>
    <w:rPr>
      <w:color w:val="605E5C"/>
      <w:shd w:val="clear" w:color="auto" w:fill="E1DFDD"/>
    </w:rPr>
  </w:style>
  <w:style w:type="character" w:customStyle="1" w:styleId="UnresolvedMention">
    <w:name w:val="Unresolved Mention"/>
    <w:basedOn w:val="Domylnaczcionkaakapitu"/>
    <w:uiPriority w:val="99"/>
    <w:semiHidden/>
    <w:unhideWhenUsed/>
    <w:rsid w:val="00774E22"/>
    <w:rPr>
      <w:color w:val="605E5C"/>
      <w:shd w:val="clear" w:color="auto" w:fill="E1DFDD"/>
    </w:rPr>
  </w:style>
  <w:style w:type="paragraph" w:customStyle="1" w:styleId="Nagwek81">
    <w:name w:val="Nagłówek 81"/>
    <w:basedOn w:val="Normalny"/>
    <w:next w:val="Normalny"/>
    <w:uiPriority w:val="9"/>
    <w:semiHidden/>
    <w:unhideWhenUsed/>
    <w:qFormat/>
    <w:rsid w:val="00774E22"/>
    <w:pPr>
      <w:keepNext/>
      <w:keepLines/>
      <w:spacing w:before="200" w:after="0" w:line="256" w:lineRule="auto"/>
      <w:ind w:left="5760" w:hanging="360"/>
      <w:outlineLvl w:val="7"/>
    </w:pPr>
    <w:rPr>
      <w:rFonts w:ascii="Calibri Light" w:eastAsia="Calibri Light" w:hAnsi="Calibri Light" w:cs="Times New Roman"/>
      <w:color w:val="404040"/>
      <w:sz w:val="20"/>
    </w:rPr>
  </w:style>
  <w:style w:type="paragraph" w:customStyle="1" w:styleId="Nagwek91">
    <w:name w:val="Nagłówek 91"/>
    <w:basedOn w:val="Normalny"/>
    <w:next w:val="Normalny"/>
    <w:uiPriority w:val="9"/>
    <w:semiHidden/>
    <w:unhideWhenUsed/>
    <w:qFormat/>
    <w:rsid w:val="00774E22"/>
    <w:pPr>
      <w:keepNext/>
      <w:keepLines/>
      <w:spacing w:before="200" w:after="0" w:line="256" w:lineRule="auto"/>
      <w:ind w:left="6480" w:hanging="360"/>
      <w:outlineLvl w:val="8"/>
    </w:pPr>
    <w:rPr>
      <w:rFonts w:ascii="Calibri Light" w:eastAsia="Calibri Light" w:hAnsi="Calibri Light" w:cs="Times New Roman"/>
      <w:i/>
      <w:iCs/>
      <w:color w:val="404040"/>
      <w:sz w:val="20"/>
    </w:rPr>
  </w:style>
  <w:style w:type="character" w:customStyle="1" w:styleId="TekstprzypisudolnegoZnak1">
    <w:name w:val="Tekst przypisu dolnego Znak1"/>
    <w:aliases w:val="Znak Znak1,single space Znak1,FOOTNOTES Znak1,fn Znak1,Podrozdział Znak1,Fußnote Znak1,Footnote Znak1,Podrozdzia3 Znak1,przypis Znak1,Tekst przypisu Znak1,Tekst przypisu Znak Znak Znak Znak Znak2,f Znak1,ft Znak1"/>
    <w:basedOn w:val="Domylnaczcionkaakapitu"/>
    <w:uiPriority w:val="99"/>
    <w:semiHidden/>
    <w:rsid w:val="00774E22"/>
    <w:rPr>
      <w:rFonts w:ascii="Calibri" w:eastAsia="Calibri" w:hAnsi="Calibri" w:cs="Arial"/>
      <w:sz w:val="20"/>
      <w:szCs w:val="20"/>
    </w:rPr>
  </w:style>
  <w:style w:type="paragraph" w:customStyle="1" w:styleId="Cytat1">
    <w:name w:val="Cytat1"/>
    <w:basedOn w:val="Normalny"/>
    <w:next w:val="Normalny"/>
    <w:uiPriority w:val="29"/>
    <w:qFormat/>
    <w:rsid w:val="00774E22"/>
    <w:pPr>
      <w:spacing w:before="160" w:after="160" w:line="256" w:lineRule="auto"/>
      <w:ind w:left="720" w:right="720"/>
    </w:pPr>
    <w:rPr>
      <w:rFonts w:ascii="Calibri" w:eastAsia="Calibri" w:hAnsi="Calibri" w:cs="Arial"/>
      <w:i/>
      <w:iCs/>
      <w:color w:val="000000"/>
      <w:sz w:val="22"/>
      <w:szCs w:val="22"/>
    </w:rPr>
  </w:style>
  <w:style w:type="paragraph" w:customStyle="1" w:styleId="Nagwekspisutreci1">
    <w:name w:val="Nagłówek spisu treści1"/>
    <w:basedOn w:val="Nagwek1"/>
    <w:next w:val="Normalny"/>
    <w:uiPriority w:val="39"/>
    <w:semiHidden/>
    <w:unhideWhenUsed/>
    <w:qFormat/>
    <w:rsid w:val="00774E22"/>
    <w:pPr>
      <w:keepNext/>
      <w:keepLines/>
      <w:pageBreakBefore w:val="0"/>
      <w:numPr>
        <w:numId w:val="0"/>
      </w:numPr>
      <w:pBdr>
        <w:bottom w:val="none" w:sz="0" w:space="0" w:color="auto"/>
      </w:pBdr>
      <w:shd w:val="clear" w:color="auto" w:fill="auto"/>
      <w:tabs>
        <w:tab w:val="clear" w:pos="426"/>
      </w:tabs>
      <w:spacing w:before="240" w:after="0" w:line="320" w:lineRule="atLeast"/>
    </w:pPr>
    <w:rPr>
      <w:rFonts w:ascii="Calibri Light" w:eastAsia="Calibri Light" w:hAnsi="Calibri Light" w:cs="Times New Roman"/>
      <w:bCs/>
      <w:smallCaps/>
      <w:color w:val="000000"/>
      <w:spacing w:val="0"/>
    </w:rPr>
  </w:style>
  <w:style w:type="table" w:customStyle="1" w:styleId="Stylwyrwnanydorodka1">
    <w:name w:val="Styl wyrównany do środka1"/>
    <w:basedOn w:val="Standardowy"/>
    <w:next w:val="Tabela-Siatka"/>
    <w:uiPriority w:val="39"/>
    <w:rsid w:val="00774E22"/>
    <w:pPr>
      <w:spacing w:before="0" w:after="0" w:line="240" w:lineRule="auto"/>
    </w:pPr>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siatkaakcent13">
    <w:name w:val="Jasna siatka — akcent 13"/>
    <w:basedOn w:val="Standardowy"/>
    <w:next w:val="Jasnasiatkaakcent1"/>
    <w:uiPriority w:val="62"/>
    <w:semiHidden/>
    <w:unhideWhenUsed/>
    <w:rsid w:val="00774E22"/>
    <w:pPr>
      <w:spacing w:before="0" w:after="0" w:line="240" w:lineRule="auto"/>
    </w:pPr>
    <w:rPr>
      <w:rFonts w:ascii="Calibri" w:eastAsia="Calibri" w:hAnsi="Calibri" w:cs="Arial"/>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libri Light" w:eastAsia="Calibri Light"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Calibri Light"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Calibri Light" w:hAnsi="Calibri Light" w:cs="Times New Roman" w:hint="default"/>
        <w:b/>
        <w:bCs/>
      </w:rPr>
    </w:tblStylePr>
    <w:tblStylePr w:type="lastCol">
      <w:rPr>
        <w:rFonts w:ascii="Calibri Light" w:eastAsia="Calibri Light"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Jasnalistaakcent51">
    <w:name w:val="Jasna lista — akcent 51"/>
    <w:basedOn w:val="Standardowy"/>
    <w:next w:val="Jasnalistaakcent5"/>
    <w:uiPriority w:val="61"/>
    <w:semiHidden/>
    <w:unhideWhenUsed/>
    <w:rsid w:val="00774E22"/>
    <w:pPr>
      <w:spacing w:before="0" w:after="0" w:line="240" w:lineRule="auto"/>
    </w:pPr>
    <w:rPr>
      <w:rFonts w:ascii="Calibri" w:eastAsia="Calibri" w:hAnsi="Calibri" w:cs="Arial"/>
      <w:sz w:val="22"/>
      <w:szCs w:val="22"/>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Jasnasiatkaakcent51">
    <w:name w:val="Jasna siatka — akcent 51"/>
    <w:basedOn w:val="Standardowy"/>
    <w:next w:val="Jasnasiatkaakcent5"/>
    <w:uiPriority w:val="62"/>
    <w:semiHidden/>
    <w:unhideWhenUsed/>
    <w:rsid w:val="00774E22"/>
    <w:pPr>
      <w:spacing w:before="0" w:after="0" w:line="240" w:lineRule="auto"/>
    </w:pPr>
    <w:rPr>
      <w:rFonts w:ascii="Calibri" w:eastAsia="Calibri" w:hAnsi="Calibri" w:cs="Arial"/>
      <w:sz w:val="22"/>
      <w:szCs w:val="22"/>
      <w:lang w:val="en-US"/>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libri Light" w:eastAsia="Calibri Light" w:hAnsi="Calibri Light"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libri Light" w:eastAsia="Calibri Light" w:hAnsi="Calibri Light"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Calibri Light" w:hAnsi="Calibri Light" w:cs="Times New Roman" w:hint="default"/>
        <w:b/>
        <w:bCs/>
      </w:rPr>
    </w:tblStylePr>
    <w:tblStylePr w:type="lastCol">
      <w:rPr>
        <w:rFonts w:ascii="Calibri Light" w:eastAsia="Calibri Light" w:hAnsi="Calibri Light"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ela-Siatka11">
    <w:name w:val="Tabela - Siatka11"/>
    <w:basedOn w:val="Standardowy"/>
    <w:uiPriority w:val="39"/>
    <w:rsid w:val="00774E22"/>
    <w:pPr>
      <w:spacing w:before="0" w:after="0" w:line="240" w:lineRule="auto"/>
    </w:pPr>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siatkaakcent111">
    <w:name w:val="Jasna siatka — akcent 111"/>
    <w:basedOn w:val="Standardowy"/>
    <w:uiPriority w:val="62"/>
    <w:rsid w:val="00774E22"/>
    <w:pPr>
      <w:spacing w:before="0" w:after="0" w:line="240" w:lineRule="auto"/>
    </w:pPr>
    <w:rPr>
      <w:rFonts w:ascii="Calibri" w:eastAsia="Times New Roman" w:hAnsi="Calibri" w:cs="Arial"/>
      <w:sz w:val="24"/>
      <w:szCs w:val="24"/>
      <w:lang w:val="cs-CZ"/>
    </w:rPr>
    <w:tblPr>
      <w:tblStyleRowBandSize w:val="1"/>
      <w:tblStyleColBandSize w:val="1"/>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Jasnasiatkaakcent121">
    <w:name w:val="Jasna siatka — akcent 121"/>
    <w:basedOn w:val="Standardowy"/>
    <w:uiPriority w:val="62"/>
    <w:rsid w:val="00774E22"/>
    <w:pPr>
      <w:spacing w:before="0" w:after="0" w:line="240" w:lineRule="auto"/>
    </w:pPr>
    <w:rPr>
      <w:rFonts w:ascii="Calibri" w:eastAsia="Times New Roman" w:hAnsi="Calibri" w:cs="Arial"/>
      <w:sz w:val="24"/>
      <w:szCs w:val="24"/>
      <w:lang w:val="cs-CZ"/>
    </w:rPr>
    <w:tblPr>
      <w:tblStyleRowBandSize w:val="1"/>
      <w:tblStyleColBandSize w:val="1"/>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elasiatki4akcent511">
    <w:name w:val="Tabela siatki 4 — akcent 511"/>
    <w:basedOn w:val="Standardowy"/>
    <w:uiPriority w:val="49"/>
    <w:rsid w:val="00774E22"/>
    <w:pPr>
      <w:spacing w:before="0" w:after="0" w:line="240" w:lineRule="auto"/>
    </w:pPr>
    <w:rPr>
      <w:rFonts w:ascii="Calibri" w:eastAsia="Calibri" w:hAnsi="Calibri" w:cs="Arial"/>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6kolorowaakcent111">
    <w:name w:val="Tabela siatki 6 — kolorowa — akcent 111"/>
    <w:basedOn w:val="Standardowy"/>
    <w:uiPriority w:val="51"/>
    <w:rsid w:val="00774E22"/>
    <w:pPr>
      <w:spacing w:before="0" w:after="0" w:line="240" w:lineRule="auto"/>
    </w:pPr>
    <w:rPr>
      <w:rFonts w:ascii="Calibri" w:eastAsia="Calibri" w:hAnsi="Calibri" w:cs="Arial"/>
      <w:color w:val="2F5496"/>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Nagwek8Znak1">
    <w:name w:val="Nagłówek 8 Znak1"/>
    <w:basedOn w:val="Domylnaczcionkaakapitu"/>
    <w:uiPriority w:val="9"/>
    <w:semiHidden/>
    <w:rsid w:val="00774E22"/>
    <w:rPr>
      <w:rFonts w:asciiTheme="majorHAnsi" w:eastAsiaTheme="majorEastAsia" w:hAnsiTheme="majorHAnsi" w:cstheme="majorBidi"/>
      <w:color w:val="787E81" w:themeColor="text1" w:themeTint="D8"/>
      <w:sz w:val="21"/>
      <w:szCs w:val="21"/>
    </w:rPr>
  </w:style>
  <w:style w:type="character" w:customStyle="1" w:styleId="Nagwek9Znak1">
    <w:name w:val="Nagłówek 9 Znak1"/>
    <w:basedOn w:val="Domylnaczcionkaakapitu"/>
    <w:uiPriority w:val="9"/>
    <w:semiHidden/>
    <w:rsid w:val="00774E22"/>
    <w:rPr>
      <w:rFonts w:asciiTheme="majorHAnsi" w:eastAsiaTheme="majorEastAsia" w:hAnsiTheme="majorHAnsi" w:cstheme="majorBidi"/>
      <w:i/>
      <w:iCs/>
      <w:color w:val="787E81" w:themeColor="text1" w:themeTint="D8"/>
      <w:sz w:val="21"/>
      <w:szCs w:val="21"/>
    </w:rPr>
  </w:style>
  <w:style w:type="character" w:customStyle="1" w:styleId="CytatZnak1">
    <w:name w:val="Cytat Znak1"/>
    <w:basedOn w:val="Domylnaczcionkaakapitu"/>
    <w:uiPriority w:val="29"/>
    <w:rsid w:val="00774E22"/>
    <w:rPr>
      <w:i/>
      <w:iCs/>
      <w:color w:val="888D90" w:themeColor="text1" w:themeTint="BF"/>
    </w:rPr>
  </w:style>
  <w:style w:type="table" w:styleId="Tabelasiatki1jasna">
    <w:name w:val="Grid Table 1 Light"/>
    <w:basedOn w:val="Standardowy"/>
    <w:uiPriority w:val="46"/>
    <w:rsid w:val="00774E22"/>
    <w:pPr>
      <w:spacing w:before="0" w:after="0" w:line="240" w:lineRule="auto"/>
    </w:pPr>
    <w:rPr>
      <w:rFonts w:eastAsiaTheme="minorHAnsi"/>
      <w:sz w:val="22"/>
      <w:szCs w:val="22"/>
    </w:rPr>
    <w:tblPr>
      <w:tblStyleRowBandSize w:val="1"/>
      <w:tblStyleColBandSize w:val="1"/>
      <w:tblBorders>
        <w:top w:val="single" w:sz="4" w:space="0" w:color="BFC2C3" w:themeColor="text1" w:themeTint="66"/>
        <w:left w:val="single" w:sz="4" w:space="0" w:color="BFC2C3" w:themeColor="text1" w:themeTint="66"/>
        <w:bottom w:val="single" w:sz="4" w:space="0" w:color="BFC2C3" w:themeColor="text1" w:themeTint="66"/>
        <w:right w:val="single" w:sz="4" w:space="0" w:color="BFC2C3" w:themeColor="text1" w:themeTint="66"/>
        <w:insideH w:val="single" w:sz="4" w:space="0" w:color="BFC2C3" w:themeColor="text1" w:themeTint="66"/>
        <w:insideV w:val="single" w:sz="4" w:space="0" w:color="BFC2C3" w:themeColor="text1" w:themeTint="66"/>
      </w:tblBorders>
    </w:tblPr>
    <w:tblStylePr w:type="firstRow">
      <w:rPr>
        <w:b/>
        <w:bCs/>
      </w:rPr>
      <w:tblPr/>
      <w:tcPr>
        <w:tcBorders>
          <w:bottom w:val="single" w:sz="12" w:space="0" w:color="9FA4A6" w:themeColor="text1" w:themeTint="99"/>
        </w:tcBorders>
      </w:tcPr>
    </w:tblStylePr>
    <w:tblStylePr w:type="lastRow">
      <w:rPr>
        <w:b/>
        <w:bCs/>
      </w:rPr>
      <w:tblPr/>
      <w:tcPr>
        <w:tcBorders>
          <w:top w:val="double" w:sz="2" w:space="0" w:color="9FA4A6" w:themeColor="text1" w:themeTint="99"/>
        </w:tcBorders>
      </w:tcPr>
    </w:tblStylePr>
    <w:tblStylePr w:type="firstCol">
      <w:rPr>
        <w:b/>
        <w:bCs/>
      </w:rPr>
    </w:tblStylePr>
    <w:tblStylePr w:type="lastCol">
      <w:rPr>
        <w:b/>
        <w:bCs/>
      </w:rPr>
    </w:tblStylePr>
  </w:style>
  <w:style w:type="table" w:styleId="Tabelasiatki4akcent1">
    <w:name w:val="Grid Table 4 Accent 1"/>
    <w:basedOn w:val="Standardowy"/>
    <w:uiPriority w:val="49"/>
    <w:rsid w:val="00774E22"/>
    <w:pPr>
      <w:spacing w:before="0" w:after="0" w:line="240" w:lineRule="auto"/>
    </w:pPr>
    <w:rPr>
      <w:rFonts w:eastAsiaTheme="minorHAnsi"/>
      <w:sz w:val="22"/>
      <w:szCs w:val="22"/>
    </w:rPr>
    <w:tblPr>
      <w:tblStyleRowBandSize w:val="1"/>
      <w:tblStyleColBandSize w:val="1"/>
      <w:tblBorders>
        <w:top w:val="single" w:sz="4" w:space="0" w:color="E95F6B" w:themeColor="accent1" w:themeTint="99"/>
        <w:left w:val="single" w:sz="4" w:space="0" w:color="E95F6B" w:themeColor="accent1" w:themeTint="99"/>
        <w:bottom w:val="single" w:sz="4" w:space="0" w:color="E95F6B" w:themeColor="accent1" w:themeTint="99"/>
        <w:right w:val="single" w:sz="4" w:space="0" w:color="E95F6B" w:themeColor="accent1" w:themeTint="99"/>
        <w:insideH w:val="single" w:sz="4" w:space="0" w:color="E95F6B" w:themeColor="accent1" w:themeTint="99"/>
        <w:insideV w:val="single" w:sz="4" w:space="0" w:color="E95F6B" w:themeColor="accent1" w:themeTint="99"/>
      </w:tblBorders>
    </w:tblPr>
    <w:tblStylePr w:type="firstRow">
      <w:rPr>
        <w:b/>
        <w:bCs/>
        <w:color w:val="FFFFFF" w:themeColor="background1"/>
      </w:rPr>
      <w:tblPr/>
      <w:tcPr>
        <w:tcBorders>
          <w:top w:val="single" w:sz="4" w:space="0" w:color="B61928" w:themeColor="accent1"/>
          <w:left w:val="single" w:sz="4" w:space="0" w:color="B61928" w:themeColor="accent1"/>
          <w:bottom w:val="single" w:sz="4" w:space="0" w:color="B61928" w:themeColor="accent1"/>
          <w:right w:val="single" w:sz="4" w:space="0" w:color="B61928" w:themeColor="accent1"/>
          <w:insideH w:val="nil"/>
          <w:insideV w:val="nil"/>
        </w:tcBorders>
        <w:shd w:val="clear" w:color="auto" w:fill="B61928" w:themeFill="accent1"/>
      </w:tcPr>
    </w:tblStylePr>
    <w:tblStylePr w:type="lastRow">
      <w:rPr>
        <w:b/>
        <w:bCs/>
      </w:rPr>
      <w:tblPr/>
      <w:tcPr>
        <w:tcBorders>
          <w:top w:val="double" w:sz="4" w:space="0" w:color="B61928" w:themeColor="accent1"/>
        </w:tcBorders>
      </w:tcPr>
    </w:tblStylePr>
    <w:tblStylePr w:type="firstCol">
      <w:rPr>
        <w:b/>
        <w:bCs/>
      </w:rPr>
    </w:tblStylePr>
    <w:tblStylePr w:type="lastCol">
      <w:rPr>
        <w:b/>
        <w:bCs/>
      </w:rPr>
    </w:tblStylePr>
    <w:tblStylePr w:type="band1Vert">
      <w:tblPr/>
      <w:tcPr>
        <w:shd w:val="clear" w:color="auto" w:fill="F7C9CD" w:themeFill="accent1" w:themeFillTint="33"/>
      </w:tcPr>
    </w:tblStylePr>
    <w:tblStylePr w:type="band1Horz">
      <w:tblPr/>
      <w:tcPr>
        <w:shd w:val="clear" w:color="auto" w:fill="F7C9CD" w:themeFill="accent1" w:themeFillTint="33"/>
      </w:tcPr>
    </w:tblStylePr>
  </w:style>
  <w:style w:type="table" w:styleId="Tabelasiatki4akcent3">
    <w:name w:val="Grid Table 4 Accent 3"/>
    <w:basedOn w:val="Standardowy"/>
    <w:uiPriority w:val="49"/>
    <w:rsid w:val="00774E22"/>
    <w:pPr>
      <w:spacing w:before="0" w:after="0" w:line="240" w:lineRule="auto"/>
    </w:pPr>
    <w:rPr>
      <w:rFonts w:eastAsiaTheme="minorHAnsi"/>
      <w:sz w:val="22"/>
      <w:szCs w:val="22"/>
    </w:rPr>
    <w:tblPr>
      <w:tblStyleRowBandSize w:val="1"/>
      <w:tblStyleColBandSize w:val="1"/>
      <w:tblBorders>
        <w:top w:val="single" w:sz="4" w:space="0" w:color="9FA4A6" w:themeColor="accent3" w:themeTint="99"/>
        <w:left w:val="single" w:sz="4" w:space="0" w:color="9FA4A6" w:themeColor="accent3" w:themeTint="99"/>
        <w:bottom w:val="single" w:sz="4" w:space="0" w:color="9FA4A6" w:themeColor="accent3" w:themeTint="99"/>
        <w:right w:val="single" w:sz="4" w:space="0" w:color="9FA4A6" w:themeColor="accent3" w:themeTint="99"/>
        <w:insideH w:val="single" w:sz="4" w:space="0" w:color="9FA4A6" w:themeColor="accent3" w:themeTint="99"/>
        <w:insideV w:val="single" w:sz="4" w:space="0" w:color="9FA4A6" w:themeColor="accent3" w:themeTint="99"/>
      </w:tblBorders>
    </w:tblPr>
    <w:tblStylePr w:type="firstRow">
      <w:rPr>
        <w:b/>
        <w:bCs/>
        <w:color w:val="FFFFFF" w:themeColor="background1"/>
      </w:rPr>
      <w:tblPr/>
      <w:tcPr>
        <w:tcBorders>
          <w:top w:val="single" w:sz="4" w:space="0" w:color="626769" w:themeColor="accent3"/>
          <w:left w:val="single" w:sz="4" w:space="0" w:color="626769" w:themeColor="accent3"/>
          <w:bottom w:val="single" w:sz="4" w:space="0" w:color="626769" w:themeColor="accent3"/>
          <w:right w:val="single" w:sz="4" w:space="0" w:color="626769" w:themeColor="accent3"/>
          <w:insideH w:val="nil"/>
          <w:insideV w:val="nil"/>
        </w:tcBorders>
        <w:shd w:val="clear" w:color="auto" w:fill="626769" w:themeFill="accent3"/>
      </w:tcPr>
    </w:tblStylePr>
    <w:tblStylePr w:type="lastRow">
      <w:rPr>
        <w:b/>
        <w:bCs/>
      </w:rPr>
      <w:tblPr/>
      <w:tcPr>
        <w:tcBorders>
          <w:top w:val="double" w:sz="4" w:space="0" w:color="626769" w:themeColor="accent3"/>
        </w:tcBorders>
      </w:tcPr>
    </w:tblStylePr>
    <w:tblStylePr w:type="firstCol">
      <w:rPr>
        <w:b/>
        <w:bCs/>
      </w:rPr>
    </w:tblStylePr>
    <w:tblStylePr w:type="lastCol">
      <w:rPr>
        <w:b/>
        <w:bCs/>
      </w:rPr>
    </w:tblStylePr>
    <w:tblStylePr w:type="band1Vert">
      <w:tblPr/>
      <w:tcPr>
        <w:shd w:val="clear" w:color="auto" w:fill="DFE0E1" w:themeFill="accent3" w:themeFillTint="33"/>
      </w:tcPr>
    </w:tblStylePr>
    <w:tblStylePr w:type="band1Horz">
      <w:tblPr/>
      <w:tcPr>
        <w:shd w:val="clear" w:color="auto" w:fill="DFE0E1" w:themeFill="accent3" w:themeFillTint="33"/>
      </w:tcPr>
    </w:tblStylePr>
  </w:style>
  <w:style w:type="table" w:styleId="Tabelasiatki5ciemnaakcent3">
    <w:name w:val="Grid Table 5 Dark Accent 3"/>
    <w:basedOn w:val="Standardowy"/>
    <w:uiPriority w:val="50"/>
    <w:rsid w:val="00774E22"/>
    <w:pPr>
      <w:spacing w:before="0" w:after="0" w:line="240" w:lineRule="auto"/>
    </w:pPr>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0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676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676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676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6769" w:themeFill="accent3"/>
      </w:tcPr>
    </w:tblStylePr>
    <w:tblStylePr w:type="band1Vert">
      <w:tblPr/>
      <w:tcPr>
        <w:shd w:val="clear" w:color="auto" w:fill="BFC2C3" w:themeFill="accent3" w:themeFillTint="66"/>
      </w:tcPr>
    </w:tblStylePr>
    <w:tblStylePr w:type="band1Horz">
      <w:tblPr/>
      <w:tcPr>
        <w:shd w:val="clear" w:color="auto" w:fill="BFC2C3" w:themeFill="accent3" w:themeFillTint="66"/>
      </w:tcPr>
    </w:tblStylePr>
  </w:style>
  <w:style w:type="character" w:styleId="Tekstzastpczy">
    <w:name w:val="Placeholder Text"/>
    <w:basedOn w:val="Domylnaczcionkaakapitu"/>
    <w:uiPriority w:val="99"/>
    <w:semiHidden/>
    <w:rsid w:val="00774E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4289">
      <w:bodyDiv w:val="1"/>
      <w:marLeft w:val="0"/>
      <w:marRight w:val="0"/>
      <w:marTop w:val="0"/>
      <w:marBottom w:val="0"/>
      <w:divBdr>
        <w:top w:val="none" w:sz="0" w:space="0" w:color="auto"/>
        <w:left w:val="none" w:sz="0" w:space="0" w:color="auto"/>
        <w:bottom w:val="none" w:sz="0" w:space="0" w:color="auto"/>
        <w:right w:val="none" w:sz="0" w:space="0" w:color="auto"/>
      </w:divBdr>
    </w:div>
    <w:div w:id="99957879">
      <w:bodyDiv w:val="1"/>
      <w:marLeft w:val="0"/>
      <w:marRight w:val="0"/>
      <w:marTop w:val="0"/>
      <w:marBottom w:val="0"/>
      <w:divBdr>
        <w:top w:val="none" w:sz="0" w:space="0" w:color="auto"/>
        <w:left w:val="none" w:sz="0" w:space="0" w:color="auto"/>
        <w:bottom w:val="none" w:sz="0" w:space="0" w:color="auto"/>
        <w:right w:val="none" w:sz="0" w:space="0" w:color="auto"/>
      </w:divBdr>
    </w:div>
    <w:div w:id="176238260">
      <w:bodyDiv w:val="1"/>
      <w:marLeft w:val="0"/>
      <w:marRight w:val="0"/>
      <w:marTop w:val="0"/>
      <w:marBottom w:val="0"/>
      <w:divBdr>
        <w:top w:val="none" w:sz="0" w:space="0" w:color="auto"/>
        <w:left w:val="none" w:sz="0" w:space="0" w:color="auto"/>
        <w:bottom w:val="none" w:sz="0" w:space="0" w:color="auto"/>
        <w:right w:val="none" w:sz="0" w:space="0" w:color="auto"/>
      </w:divBdr>
      <w:divsChild>
        <w:div w:id="1180657620">
          <w:marLeft w:val="792"/>
          <w:marRight w:val="0"/>
          <w:marTop w:val="100"/>
          <w:marBottom w:val="0"/>
          <w:divBdr>
            <w:top w:val="none" w:sz="0" w:space="0" w:color="auto"/>
            <w:left w:val="none" w:sz="0" w:space="0" w:color="auto"/>
            <w:bottom w:val="none" w:sz="0" w:space="0" w:color="auto"/>
            <w:right w:val="none" w:sz="0" w:space="0" w:color="auto"/>
          </w:divBdr>
        </w:div>
        <w:div w:id="1441335257">
          <w:marLeft w:val="446"/>
          <w:marRight w:val="0"/>
          <w:marTop w:val="100"/>
          <w:marBottom w:val="0"/>
          <w:divBdr>
            <w:top w:val="none" w:sz="0" w:space="0" w:color="auto"/>
            <w:left w:val="none" w:sz="0" w:space="0" w:color="auto"/>
            <w:bottom w:val="none" w:sz="0" w:space="0" w:color="auto"/>
            <w:right w:val="none" w:sz="0" w:space="0" w:color="auto"/>
          </w:divBdr>
        </w:div>
        <w:div w:id="1878926386">
          <w:marLeft w:val="792"/>
          <w:marRight w:val="0"/>
          <w:marTop w:val="100"/>
          <w:marBottom w:val="0"/>
          <w:divBdr>
            <w:top w:val="none" w:sz="0" w:space="0" w:color="auto"/>
            <w:left w:val="none" w:sz="0" w:space="0" w:color="auto"/>
            <w:bottom w:val="none" w:sz="0" w:space="0" w:color="auto"/>
            <w:right w:val="none" w:sz="0" w:space="0" w:color="auto"/>
          </w:divBdr>
        </w:div>
        <w:div w:id="1887719720">
          <w:marLeft w:val="446"/>
          <w:marRight w:val="0"/>
          <w:marTop w:val="100"/>
          <w:marBottom w:val="0"/>
          <w:divBdr>
            <w:top w:val="none" w:sz="0" w:space="0" w:color="auto"/>
            <w:left w:val="none" w:sz="0" w:space="0" w:color="auto"/>
            <w:bottom w:val="none" w:sz="0" w:space="0" w:color="auto"/>
            <w:right w:val="none" w:sz="0" w:space="0" w:color="auto"/>
          </w:divBdr>
        </w:div>
      </w:divsChild>
    </w:div>
    <w:div w:id="206259393">
      <w:bodyDiv w:val="1"/>
      <w:marLeft w:val="0"/>
      <w:marRight w:val="0"/>
      <w:marTop w:val="0"/>
      <w:marBottom w:val="0"/>
      <w:divBdr>
        <w:top w:val="none" w:sz="0" w:space="0" w:color="auto"/>
        <w:left w:val="none" w:sz="0" w:space="0" w:color="auto"/>
        <w:bottom w:val="none" w:sz="0" w:space="0" w:color="auto"/>
        <w:right w:val="none" w:sz="0" w:space="0" w:color="auto"/>
      </w:divBdr>
    </w:div>
    <w:div w:id="491799920">
      <w:bodyDiv w:val="1"/>
      <w:marLeft w:val="0"/>
      <w:marRight w:val="0"/>
      <w:marTop w:val="0"/>
      <w:marBottom w:val="0"/>
      <w:divBdr>
        <w:top w:val="none" w:sz="0" w:space="0" w:color="auto"/>
        <w:left w:val="none" w:sz="0" w:space="0" w:color="auto"/>
        <w:bottom w:val="none" w:sz="0" w:space="0" w:color="auto"/>
        <w:right w:val="none" w:sz="0" w:space="0" w:color="auto"/>
      </w:divBdr>
    </w:div>
    <w:div w:id="650327732">
      <w:bodyDiv w:val="1"/>
      <w:marLeft w:val="0"/>
      <w:marRight w:val="0"/>
      <w:marTop w:val="0"/>
      <w:marBottom w:val="0"/>
      <w:divBdr>
        <w:top w:val="none" w:sz="0" w:space="0" w:color="auto"/>
        <w:left w:val="none" w:sz="0" w:space="0" w:color="auto"/>
        <w:bottom w:val="none" w:sz="0" w:space="0" w:color="auto"/>
        <w:right w:val="none" w:sz="0" w:space="0" w:color="auto"/>
      </w:divBdr>
    </w:div>
    <w:div w:id="790367859">
      <w:bodyDiv w:val="1"/>
      <w:marLeft w:val="0"/>
      <w:marRight w:val="0"/>
      <w:marTop w:val="0"/>
      <w:marBottom w:val="0"/>
      <w:divBdr>
        <w:top w:val="none" w:sz="0" w:space="0" w:color="auto"/>
        <w:left w:val="none" w:sz="0" w:space="0" w:color="auto"/>
        <w:bottom w:val="none" w:sz="0" w:space="0" w:color="auto"/>
        <w:right w:val="none" w:sz="0" w:space="0" w:color="auto"/>
      </w:divBdr>
      <w:divsChild>
        <w:div w:id="164247383">
          <w:marLeft w:val="446"/>
          <w:marRight w:val="0"/>
          <w:marTop w:val="100"/>
          <w:marBottom w:val="0"/>
          <w:divBdr>
            <w:top w:val="none" w:sz="0" w:space="0" w:color="auto"/>
            <w:left w:val="none" w:sz="0" w:space="0" w:color="auto"/>
            <w:bottom w:val="none" w:sz="0" w:space="0" w:color="auto"/>
            <w:right w:val="none" w:sz="0" w:space="0" w:color="auto"/>
          </w:divBdr>
        </w:div>
        <w:div w:id="377316697">
          <w:marLeft w:val="446"/>
          <w:marRight w:val="0"/>
          <w:marTop w:val="100"/>
          <w:marBottom w:val="0"/>
          <w:divBdr>
            <w:top w:val="none" w:sz="0" w:space="0" w:color="auto"/>
            <w:left w:val="none" w:sz="0" w:space="0" w:color="auto"/>
            <w:bottom w:val="none" w:sz="0" w:space="0" w:color="auto"/>
            <w:right w:val="none" w:sz="0" w:space="0" w:color="auto"/>
          </w:divBdr>
        </w:div>
        <w:div w:id="442460269">
          <w:marLeft w:val="792"/>
          <w:marRight w:val="0"/>
          <w:marTop w:val="100"/>
          <w:marBottom w:val="0"/>
          <w:divBdr>
            <w:top w:val="none" w:sz="0" w:space="0" w:color="auto"/>
            <w:left w:val="none" w:sz="0" w:space="0" w:color="auto"/>
            <w:bottom w:val="none" w:sz="0" w:space="0" w:color="auto"/>
            <w:right w:val="none" w:sz="0" w:space="0" w:color="auto"/>
          </w:divBdr>
        </w:div>
        <w:div w:id="679357751">
          <w:marLeft w:val="792"/>
          <w:marRight w:val="0"/>
          <w:marTop w:val="100"/>
          <w:marBottom w:val="0"/>
          <w:divBdr>
            <w:top w:val="none" w:sz="0" w:space="0" w:color="auto"/>
            <w:left w:val="none" w:sz="0" w:space="0" w:color="auto"/>
            <w:bottom w:val="none" w:sz="0" w:space="0" w:color="auto"/>
            <w:right w:val="none" w:sz="0" w:space="0" w:color="auto"/>
          </w:divBdr>
        </w:div>
        <w:div w:id="939684861">
          <w:marLeft w:val="446"/>
          <w:marRight w:val="0"/>
          <w:marTop w:val="100"/>
          <w:marBottom w:val="0"/>
          <w:divBdr>
            <w:top w:val="none" w:sz="0" w:space="0" w:color="auto"/>
            <w:left w:val="none" w:sz="0" w:space="0" w:color="auto"/>
            <w:bottom w:val="none" w:sz="0" w:space="0" w:color="auto"/>
            <w:right w:val="none" w:sz="0" w:space="0" w:color="auto"/>
          </w:divBdr>
        </w:div>
        <w:div w:id="1313102525">
          <w:marLeft w:val="792"/>
          <w:marRight w:val="0"/>
          <w:marTop w:val="100"/>
          <w:marBottom w:val="0"/>
          <w:divBdr>
            <w:top w:val="none" w:sz="0" w:space="0" w:color="auto"/>
            <w:left w:val="none" w:sz="0" w:space="0" w:color="auto"/>
            <w:bottom w:val="none" w:sz="0" w:space="0" w:color="auto"/>
            <w:right w:val="none" w:sz="0" w:space="0" w:color="auto"/>
          </w:divBdr>
        </w:div>
        <w:div w:id="1408111953">
          <w:marLeft w:val="792"/>
          <w:marRight w:val="0"/>
          <w:marTop w:val="100"/>
          <w:marBottom w:val="0"/>
          <w:divBdr>
            <w:top w:val="none" w:sz="0" w:space="0" w:color="auto"/>
            <w:left w:val="none" w:sz="0" w:space="0" w:color="auto"/>
            <w:bottom w:val="none" w:sz="0" w:space="0" w:color="auto"/>
            <w:right w:val="none" w:sz="0" w:space="0" w:color="auto"/>
          </w:divBdr>
        </w:div>
        <w:div w:id="1709646001">
          <w:marLeft w:val="792"/>
          <w:marRight w:val="0"/>
          <w:marTop w:val="100"/>
          <w:marBottom w:val="0"/>
          <w:divBdr>
            <w:top w:val="none" w:sz="0" w:space="0" w:color="auto"/>
            <w:left w:val="none" w:sz="0" w:space="0" w:color="auto"/>
            <w:bottom w:val="none" w:sz="0" w:space="0" w:color="auto"/>
            <w:right w:val="none" w:sz="0" w:space="0" w:color="auto"/>
          </w:divBdr>
        </w:div>
      </w:divsChild>
    </w:div>
    <w:div w:id="814955031">
      <w:bodyDiv w:val="1"/>
      <w:marLeft w:val="0"/>
      <w:marRight w:val="0"/>
      <w:marTop w:val="0"/>
      <w:marBottom w:val="0"/>
      <w:divBdr>
        <w:top w:val="none" w:sz="0" w:space="0" w:color="auto"/>
        <w:left w:val="none" w:sz="0" w:space="0" w:color="auto"/>
        <w:bottom w:val="none" w:sz="0" w:space="0" w:color="auto"/>
        <w:right w:val="none" w:sz="0" w:space="0" w:color="auto"/>
      </w:divBdr>
    </w:div>
    <w:div w:id="933828499">
      <w:bodyDiv w:val="1"/>
      <w:marLeft w:val="0"/>
      <w:marRight w:val="0"/>
      <w:marTop w:val="0"/>
      <w:marBottom w:val="0"/>
      <w:divBdr>
        <w:top w:val="none" w:sz="0" w:space="0" w:color="auto"/>
        <w:left w:val="none" w:sz="0" w:space="0" w:color="auto"/>
        <w:bottom w:val="none" w:sz="0" w:space="0" w:color="auto"/>
        <w:right w:val="none" w:sz="0" w:space="0" w:color="auto"/>
      </w:divBdr>
      <w:divsChild>
        <w:div w:id="264534043">
          <w:marLeft w:val="446"/>
          <w:marRight w:val="0"/>
          <w:marTop w:val="100"/>
          <w:marBottom w:val="0"/>
          <w:divBdr>
            <w:top w:val="none" w:sz="0" w:space="0" w:color="auto"/>
            <w:left w:val="none" w:sz="0" w:space="0" w:color="auto"/>
            <w:bottom w:val="none" w:sz="0" w:space="0" w:color="auto"/>
            <w:right w:val="none" w:sz="0" w:space="0" w:color="auto"/>
          </w:divBdr>
        </w:div>
        <w:div w:id="266739746">
          <w:marLeft w:val="446"/>
          <w:marRight w:val="0"/>
          <w:marTop w:val="100"/>
          <w:marBottom w:val="0"/>
          <w:divBdr>
            <w:top w:val="none" w:sz="0" w:space="0" w:color="auto"/>
            <w:left w:val="none" w:sz="0" w:space="0" w:color="auto"/>
            <w:bottom w:val="none" w:sz="0" w:space="0" w:color="auto"/>
            <w:right w:val="none" w:sz="0" w:space="0" w:color="auto"/>
          </w:divBdr>
        </w:div>
        <w:div w:id="1499616619">
          <w:marLeft w:val="792"/>
          <w:marRight w:val="0"/>
          <w:marTop w:val="100"/>
          <w:marBottom w:val="0"/>
          <w:divBdr>
            <w:top w:val="none" w:sz="0" w:space="0" w:color="auto"/>
            <w:left w:val="none" w:sz="0" w:space="0" w:color="auto"/>
            <w:bottom w:val="none" w:sz="0" w:space="0" w:color="auto"/>
            <w:right w:val="none" w:sz="0" w:space="0" w:color="auto"/>
          </w:divBdr>
        </w:div>
        <w:div w:id="1743016815">
          <w:marLeft w:val="1253"/>
          <w:marRight w:val="0"/>
          <w:marTop w:val="100"/>
          <w:marBottom w:val="0"/>
          <w:divBdr>
            <w:top w:val="none" w:sz="0" w:space="0" w:color="auto"/>
            <w:left w:val="none" w:sz="0" w:space="0" w:color="auto"/>
            <w:bottom w:val="none" w:sz="0" w:space="0" w:color="auto"/>
            <w:right w:val="none" w:sz="0" w:space="0" w:color="auto"/>
          </w:divBdr>
        </w:div>
        <w:div w:id="1978100499">
          <w:marLeft w:val="1253"/>
          <w:marRight w:val="0"/>
          <w:marTop w:val="100"/>
          <w:marBottom w:val="0"/>
          <w:divBdr>
            <w:top w:val="none" w:sz="0" w:space="0" w:color="auto"/>
            <w:left w:val="none" w:sz="0" w:space="0" w:color="auto"/>
            <w:bottom w:val="none" w:sz="0" w:space="0" w:color="auto"/>
            <w:right w:val="none" w:sz="0" w:space="0" w:color="auto"/>
          </w:divBdr>
        </w:div>
        <w:div w:id="2026705652">
          <w:marLeft w:val="1253"/>
          <w:marRight w:val="0"/>
          <w:marTop w:val="100"/>
          <w:marBottom w:val="0"/>
          <w:divBdr>
            <w:top w:val="none" w:sz="0" w:space="0" w:color="auto"/>
            <w:left w:val="none" w:sz="0" w:space="0" w:color="auto"/>
            <w:bottom w:val="none" w:sz="0" w:space="0" w:color="auto"/>
            <w:right w:val="none" w:sz="0" w:space="0" w:color="auto"/>
          </w:divBdr>
        </w:div>
      </w:divsChild>
    </w:div>
    <w:div w:id="959340053">
      <w:bodyDiv w:val="1"/>
      <w:marLeft w:val="0"/>
      <w:marRight w:val="0"/>
      <w:marTop w:val="0"/>
      <w:marBottom w:val="0"/>
      <w:divBdr>
        <w:top w:val="none" w:sz="0" w:space="0" w:color="auto"/>
        <w:left w:val="none" w:sz="0" w:space="0" w:color="auto"/>
        <w:bottom w:val="none" w:sz="0" w:space="0" w:color="auto"/>
        <w:right w:val="none" w:sz="0" w:space="0" w:color="auto"/>
      </w:divBdr>
    </w:div>
    <w:div w:id="1133711247">
      <w:bodyDiv w:val="1"/>
      <w:marLeft w:val="0"/>
      <w:marRight w:val="0"/>
      <w:marTop w:val="0"/>
      <w:marBottom w:val="0"/>
      <w:divBdr>
        <w:top w:val="none" w:sz="0" w:space="0" w:color="auto"/>
        <w:left w:val="none" w:sz="0" w:space="0" w:color="auto"/>
        <w:bottom w:val="none" w:sz="0" w:space="0" w:color="auto"/>
        <w:right w:val="none" w:sz="0" w:space="0" w:color="auto"/>
      </w:divBdr>
      <w:divsChild>
        <w:div w:id="325398019">
          <w:marLeft w:val="1253"/>
          <w:marRight w:val="0"/>
          <w:marTop w:val="100"/>
          <w:marBottom w:val="0"/>
          <w:divBdr>
            <w:top w:val="none" w:sz="0" w:space="0" w:color="auto"/>
            <w:left w:val="none" w:sz="0" w:space="0" w:color="auto"/>
            <w:bottom w:val="none" w:sz="0" w:space="0" w:color="auto"/>
            <w:right w:val="none" w:sz="0" w:space="0" w:color="auto"/>
          </w:divBdr>
        </w:div>
        <w:div w:id="327171642">
          <w:marLeft w:val="446"/>
          <w:marRight w:val="0"/>
          <w:marTop w:val="100"/>
          <w:marBottom w:val="0"/>
          <w:divBdr>
            <w:top w:val="none" w:sz="0" w:space="0" w:color="auto"/>
            <w:left w:val="none" w:sz="0" w:space="0" w:color="auto"/>
            <w:bottom w:val="none" w:sz="0" w:space="0" w:color="auto"/>
            <w:right w:val="none" w:sz="0" w:space="0" w:color="auto"/>
          </w:divBdr>
        </w:div>
        <w:div w:id="486751720">
          <w:marLeft w:val="792"/>
          <w:marRight w:val="0"/>
          <w:marTop w:val="100"/>
          <w:marBottom w:val="0"/>
          <w:divBdr>
            <w:top w:val="none" w:sz="0" w:space="0" w:color="auto"/>
            <w:left w:val="none" w:sz="0" w:space="0" w:color="auto"/>
            <w:bottom w:val="none" w:sz="0" w:space="0" w:color="auto"/>
            <w:right w:val="none" w:sz="0" w:space="0" w:color="auto"/>
          </w:divBdr>
        </w:div>
        <w:div w:id="638996184">
          <w:marLeft w:val="1253"/>
          <w:marRight w:val="0"/>
          <w:marTop w:val="100"/>
          <w:marBottom w:val="0"/>
          <w:divBdr>
            <w:top w:val="none" w:sz="0" w:space="0" w:color="auto"/>
            <w:left w:val="none" w:sz="0" w:space="0" w:color="auto"/>
            <w:bottom w:val="none" w:sz="0" w:space="0" w:color="auto"/>
            <w:right w:val="none" w:sz="0" w:space="0" w:color="auto"/>
          </w:divBdr>
        </w:div>
        <w:div w:id="1045836292">
          <w:marLeft w:val="1253"/>
          <w:marRight w:val="0"/>
          <w:marTop w:val="100"/>
          <w:marBottom w:val="0"/>
          <w:divBdr>
            <w:top w:val="none" w:sz="0" w:space="0" w:color="auto"/>
            <w:left w:val="none" w:sz="0" w:space="0" w:color="auto"/>
            <w:bottom w:val="none" w:sz="0" w:space="0" w:color="auto"/>
            <w:right w:val="none" w:sz="0" w:space="0" w:color="auto"/>
          </w:divBdr>
        </w:div>
        <w:div w:id="1057628180">
          <w:marLeft w:val="792"/>
          <w:marRight w:val="0"/>
          <w:marTop w:val="100"/>
          <w:marBottom w:val="0"/>
          <w:divBdr>
            <w:top w:val="none" w:sz="0" w:space="0" w:color="auto"/>
            <w:left w:val="none" w:sz="0" w:space="0" w:color="auto"/>
            <w:bottom w:val="none" w:sz="0" w:space="0" w:color="auto"/>
            <w:right w:val="none" w:sz="0" w:space="0" w:color="auto"/>
          </w:divBdr>
        </w:div>
      </w:divsChild>
    </w:div>
    <w:div w:id="1302924283">
      <w:bodyDiv w:val="1"/>
      <w:marLeft w:val="0"/>
      <w:marRight w:val="0"/>
      <w:marTop w:val="0"/>
      <w:marBottom w:val="0"/>
      <w:divBdr>
        <w:top w:val="none" w:sz="0" w:space="0" w:color="auto"/>
        <w:left w:val="none" w:sz="0" w:space="0" w:color="auto"/>
        <w:bottom w:val="none" w:sz="0" w:space="0" w:color="auto"/>
        <w:right w:val="none" w:sz="0" w:space="0" w:color="auto"/>
      </w:divBdr>
      <w:divsChild>
        <w:div w:id="1817258456">
          <w:marLeft w:val="446"/>
          <w:marRight w:val="0"/>
          <w:marTop w:val="100"/>
          <w:marBottom w:val="0"/>
          <w:divBdr>
            <w:top w:val="none" w:sz="0" w:space="0" w:color="auto"/>
            <w:left w:val="none" w:sz="0" w:space="0" w:color="auto"/>
            <w:bottom w:val="none" w:sz="0" w:space="0" w:color="auto"/>
            <w:right w:val="none" w:sz="0" w:space="0" w:color="auto"/>
          </w:divBdr>
        </w:div>
      </w:divsChild>
    </w:div>
    <w:div w:id="1511064448">
      <w:bodyDiv w:val="1"/>
      <w:marLeft w:val="0"/>
      <w:marRight w:val="0"/>
      <w:marTop w:val="0"/>
      <w:marBottom w:val="0"/>
      <w:divBdr>
        <w:top w:val="none" w:sz="0" w:space="0" w:color="auto"/>
        <w:left w:val="none" w:sz="0" w:space="0" w:color="auto"/>
        <w:bottom w:val="none" w:sz="0" w:space="0" w:color="auto"/>
        <w:right w:val="none" w:sz="0" w:space="0" w:color="auto"/>
      </w:divBdr>
    </w:div>
    <w:div w:id="1672638061">
      <w:bodyDiv w:val="1"/>
      <w:marLeft w:val="0"/>
      <w:marRight w:val="0"/>
      <w:marTop w:val="0"/>
      <w:marBottom w:val="0"/>
      <w:divBdr>
        <w:top w:val="none" w:sz="0" w:space="0" w:color="auto"/>
        <w:left w:val="none" w:sz="0" w:space="0" w:color="auto"/>
        <w:bottom w:val="none" w:sz="0" w:space="0" w:color="auto"/>
        <w:right w:val="none" w:sz="0" w:space="0" w:color="auto"/>
      </w:divBdr>
    </w:div>
    <w:div w:id="1752312061">
      <w:bodyDiv w:val="1"/>
      <w:marLeft w:val="0"/>
      <w:marRight w:val="0"/>
      <w:marTop w:val="0"/>
      <w:marBottom w:val="0"/>
      <w:divBdr>
        <w:top w:val="none" w:sz="0" w:space="0" w:color="auto"/>
        <w:left w:val="none" w:sz="0" w:space="0" w:color="auto"/>
        <w:bottom w:val="none" w:sz="0" w:space="0" w:color="auto"/>
        <w:right w:val="none" w:sz="0" w:space="0" w:color="auto"/>
      </w:divBdr>
    </w:div>
    <w:div w:id="1819149350">
      <w:bodyDiv w:val="1"/>
      <w:marLeft w:val="0"/>
      <w:marRight w:val="0"/>
      <w:marTop w:val="0"/>
      <w:marBottom w:val="0"/>
      <w:divBdr>
        <w:top w:val="none" w:sz="0" w:space="0" w:color="auto"/>
        <w:left w:val="none" w:sz="0" w:space="0" w:color="auto"/>
        <w:bottom w:val="none" w:sz="0" w:space="0" w:color="auto"/>
        <w:right w:val="none" w:sz="0" w:space="0" w:color="auto"/>
      </w:divBdr>
      <w:divsChild>
        <w:div w:id="91510452">
          <w:marLeft w:val="446"/>
          <w:marRight w:val="0"/>
          <w:marTop w:val="100"/>
          <w:marBottom w:val="0"/>
          <w:divBdr>
            <w:top w:val="none" w:sz="0" w:space="0" w:color="auto"/>
            <w:left w:val="none" w:sz="0" w:space="0" w:color="auto"/>
            <w:bottom w:val="none" w:sz="0" w:space="0" w:color="auto"/>
            <w:right w:val="none" w:sz="0" w:space="0" w:color="auto"/>
          </w:divBdr>
        </w:div>
        <w:div w:id="572353166">
          <w:marLeft w:val="446"/>
          <w:marRight w:val="0"/>
          <w:marTop w:val="100"/>
          <w:marBottom w:val="0"/>
          <w:divBdr>
            <w:top w:val="none" w:sz="0" w:space="0" w:color="auto"/>
            <w:left w:val="none" w:sz="0" w:space="0" w:color="auto"/>
            <w:bottom w:val="none" w:sz="0" w:space="0" w:color="auto"/>
            <w:right w:val="none" w:sz="0" w:space="0" w:color="auto"/>
          </w:divBdr>
        </w:div>
        <w:div w:id="1806581817">
          <w:marLeft w:val="446"/>
          <w:marRight w:val="0"/>
          <w:marTop w:val="100"/>
          <w:marBottom w:val="0"/>
          <w:divBdr>
            <w:top w:val="none" w:sz="0" w:space="0" w:color="auto"/>
            <w:left w:val="none" w:sz="0" w:space="0" w:color="auto"/>
            <w:bottom w:val="none" w:sz="0" w:space="0" w:color="auto"/>
            <w:right w:val="none" w:sz="0" w:space="0" w:color="auto"/>
          </w:divBdr>
        </w:div>
      </w:divsChild>
    </w:div>
    <w:div w:id="1854683069">
      <w:bodyDiv w:val="1"/>
      <w:marLeft w:val="0"/>
      <w:marRight w:val="0"/>
      <w:marTop w:val="0"/>
      <w:marBottom w:val="0"/>
      <w:divBdr>
        <w:top w:val="none" w:sz="0" w:space="0" w:color="auto"/>
        <w:left w:val="none" w:sz="0" w:space="0" w:color="auto"/>
        <w:bottom w:val="none" w:sz="0" w:space="0" w:color="auto"/>
        <w:right w:val="none" w:sz="0" w:space="0" w:color="auto"/>
      </w:divBdr>
      <w:divsChild>
        <w:div w:id="3896217">
          <w:marLeft w:val="446"/>
          <w:marRight w:val="0"/>
          <w:marTop w:val="100"/>
          <w:marBottom w:val="0"/>
          <w:divBdr>
            <w:top w:val="none" w:sz="0" w:space="0" w:color="auto"/>
            <w:left w:val="none" w:sz="0" w:space="0" w:color="auto"/>
            <w:bottom w:val="none" w:sz="0" w:space="0" w:color="auto"/>
            <w:right w:val="none" w:sz="0" w:space="0" w:color="auto"/>
          </w:divBdr>
        </w:div>
        <w:div w:id="982929523">
          <w:marLeft w:val="446"/>
          <w:marRight w:val="0"/>
          <w:marTop w:val="100"/>
          <w:marBottom w:val="0"/>
          <w:divBdr>
            <w:top w:val="none" w:sz="0" w:space="0" w:color="auto"/>
            <w:left w:val="none" w:sz="0" w:space="0" w:color="auto"/>
            <w:bottom w:val="none" w:sz="0" w:space="0" w:color="auto"/>
            <w:right w:val="none" w:sz="0" w:space="0" w:color="auto"/>
          </w:divBdr>
        </w:div>
        <w:div w:id="1867525484">
          <w:marLeft w:val="446"/>
          <w:marRight w:val="0"/>
          <w:marTop w:val="100"/>
          <w:marBottom w:val="0"/>
          <w:divBdr>
            <w:top w:val="none" w:sz="0" w:space="0" w:color="auto"/>
            <w:left w:val="none" w:sz="0" w:space="0" w:color="auto"/>
            <w:bottom w:val="none" w:sz="0" w:space="0" w:color="auto"/>
            <w:right w:val="none" w:sz="0" w:space="0" w:color="auto"/>
          </w:divBdr>
        </w:div>
      </w:divsChild>
    </w:div>
    <w:div w:id="2029329426">
      <w:bodyDiv w:val="1"/>
      <w:marLeft w:val="0"/>
      <w:marRight w:val="0"/>
      <w:marTop w:val="0"/>
      <w:marBottom w:val="0"/>
      <w:divBdr>
        <w:top w:val="none" w:sz="0" w:space="0" w:color="auto"/>
        <w:left w:val="none" w:sz="0" w:space="0" w:color="auto"/>
        <w:bottom w:val="none" w:sz="0" w:space="0" w:color="auto"/>
        <w:right w:val="none" w:sz="0" w:space="0" w:color="auto"/>
      </w:divBdr>
      <w:divsChild>
        <w:div w:id="423306258">
          <w:marLeft w:val="0"/>
          <w:marRight w:val="0"/>
          <w:marTop w:val="0"/>
          <w:marBottom w:val="0"/>
          <w:divBdr>
            <w:top w:val="none" w:sz="0" w:space="0" w:color="auto"/>
            <w:left w:val="none" w:sz="0" w:space="0" w:color="auto"/>
            <w:bottom w:val="none" w:sz="0" w:space="0" w:color="auto"/>
            <w:right w:val="none" w:sz="0" w:space="0" w:color="auto"/>
          </w:divBdr>
        </w:div>
        <w:div w:id="1586576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krs.ms.gov.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krs.ms.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wyszukiwarkaregon.stat.gov.pl"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krs.ms.gov.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ndrzej_jedrzejowski\Desktop\Wzorce\Raport%20ko&#324;cowy.dotx" TargetMode="External"/></Relationships>
</file>

<file path=word/theme/theme1.xml><?xml version="1.0" encoding="utf-8"?>
<a:theme xmlns:a="http://schemas.openxmlformats.org/drawingml/2006/main" name="Motyw pakietu Office">
  <a:themeElements>
    <a:clrScheme name="PFR_oficjalna kolorystyka">
      <a:dk1>
        <a:srgbClr val="626769"/>
      </a:dk1>
      <a:lt1>
        <a:srgbClr val="FFFFFF"/>
      </a:lt1>
      <a:dk2>
        <a:srgbClr val="B61928"/>
      </a:dk2>
      <a:lt2>
        <a:srgbClr val="FFFFFF"/>
      </a:lt2>
      <a:accent1>
        <a:srgbClr val="B61928"/>
      </a:accent1>
      <a:accent2>
        <a:srgbClr val="D2796D"/>
      </a:accent2>
      <a:accent3>
        <a:srgbClr val="626769"/>
      </a:accent3>
      <a:accent4>
        <a:srgbClr val="A4A8AB"/>
      </a:accent4>
      <a:accent5>
        <a:srgbClr val="0C7492"/>
      </a:accent5>
      <a:accent6>
        <a:srgbClr val="F7A600"/>
      </a:accent6>
      <a:hlink>
        <a:srgbClr val="B61928"/>
      </a:hlink>
      <a:folHlink>
        <a:srgbClr val="7F7F7F"/>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Warszawa, kwiecień 2018</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9AC91D-925A-420E-981A-EF88BC20E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Raport końcowy</Template>
  <TotalTime>61</TotalTime>
  <Pages>10</Pages>
  <Words>2980</Words>
  <Characters>16992</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Analizy kontrfaktyczne efektów przyczynowych POPW (draft)</vt:lpstr>
    </vt:vector>
  </TitlesOfParts>
  <Company>Polska Agencja Rozwoju Przedsiębiorczości</Company>
  <LinksUpToDate>false</LinksUpToDate>
  <CharactersWithSpaces>19933</CharactersWithSpaces>
  <SharedDoc>false</SharedDoc>
  <HLinks>
    <vt:vector size="1494" baseType="variant">
      <vt:variant>
        <vt:i4>1114174</vt:i4>
      </vt:variant>
      <vt:variant>
        <vt:i4>1844</vt:i4>
      </vt:variant>
      <vt:variant>
        <vt:i4>0</vt:i4>
      </vt:variant>
      <vt:variant>
        <vt:i4>5</vt:i4>
      </vt:variant>
      <vt:variant>
        <vt:lpwstr/>
      </vt:variant>
      <vt:variant>
        <vt:lpwstr>_Toc15513597</vt:lpwstr>
      </vt:variant>
      <vt:variant>
        <vt:i4>1048638</vt:i4>
      </vt:variant>
      <vt:variant>
        <vt:i4>1838</vt:i4>
      </vt:variant>
      <vt:variant>
        <vt:i4>0</vt:i4>
      </vt:variant>
      <vt:variant>
        <vt:i4>5</vt:i4>
      </vt:variant>
      <vt:variant>
        <vt:lpwstr/>
      </vt:variant>
      <vt:variant>
        <vt:lpwstr>_Toc15513596</vt:lpwstr>
      </vt:variant>
      <vt:variant>
        <vt:i4>1245246</vt:i4>
      </vt:variant>
      <vt:variant>
        <vt:i4>1832</vt:i4>
      </vt:variant>
      <vt:variant>
        <vt:i4>0</vt:i4>
      </vt:variant>
      <vt:variant>
        <vt:i4>5</vt:i4>
      </vt:variant>
      <vt:variant>
        <vt:lpwstr/>
      </vt:variant>
      <vt:variant>
        <vt:lpwstr>_Toc15513595</vt:lpwstr>
      </vt:variant>
      <vt:variant>
        <vt:i4>1179710</vt:i4>
      </vt:variant>
      <vt:variant>
        <vt:i4>1826</vt:i4>
      </vt:variant>
      <vt:variant>
        <vt:i4>0</vt:i4>
      </vt:variant>
      <vt:variant>
        <vt:i4>5</vt:i4>
      </vt:variant>
      <vt:variant>
        <vt:lpwstr/>
      </vt:variant>
      <vt:variant>
        <vt:lpwstr>_Toc15513594</vt:lpwstr>
      </vt:variant>
      <vt:variant>
        <vt:i4>1376318</vt:i4>
      </vt:variant>
      <vt:variant>
        <vt:i4>1820</vt:i4>
      </vt:variant>
      <vt:variant>
        <vt:i4>0</vt:i4>
      </vt:variant>
      <vt:variant>
        <vt:i4>5</vt:i4>
      </vt:variant>
      <vt:variant>
        <vt:lpwstr/>
      </vt:variant>
      <vt:variant>
        <vt:lpwstr>_Toc15513593</vt:lpwstr>
      </vt:variant>
      <vt:variant>
        <vt:i4>1310782</vt:i4>
      </vt:variant>
      <vt:variant>
        <vt:i4>1814</vt:i4>
      </vt:variant>
      <vt:variant>
        <vt:i4>0</vt:i4>
      </vt:variant>
      <vt:variant>
        <vt:i4>5</vt:i4>
      </vt:variant>
      <vt:variant>
        <vt:lpwstr/>
      </vt:variant>
      <vt:variant>
        <vt:lpwstr>_Toc15513592</vt:lpwstr>
      </vt:variant>
      <vt:variant>
        <vt:i4>1507390</vt:i4>
      </vt:variant>
      <vt:variant>
        <vt:i4>1808</vt:i4>
      </vt:variant>
      <vt:variant>
        <vt:i4>0</vt:i4>
      </vt:variant>
      <vt:variant>
        <vt:i4>5</vt:i4>
      </vt:variant>
      <vt:variant>
        <vt:lpwstr/>
      </vt:variant>
      <vt:variant>
        <vt:lpwstr>_Toc15513591</vt:lpwstr>
      </vt:variant>
      <vt:variant>
        <vt:i4>1441854</vt:i4>
      </vt:variant>
      <vt:variant>
        <vt:i4>1802</vt:i4>
      </vt:variant>
      <vt:variant>
        <vt:i4>0</vt:i4>
      </vt:variant>
      <vt:variant>
        <vt:i4>5</vt:i4>
      </vt:variant>
      <vt:variant>
        <vt:lpwstr/>
      </vt:variant>
      <vt:variant>
        <vt:lpwstr>_Toc15513590</vt:lpwstr>
      </vt:variant>
      <vt:variant>
        <vt:i4>2031679</vt:i4>
      </vt:variant>
      <vt:variant>
        <vt:i4>1796</vt:i4>
      </vt:variant>
      <vt:variant>
        <vt:i4>0</vt:i4>
      </vt:variant>
      <vt:variant>
        <vt:i4>5</vt:i4>
      </vt:variant>
      <vt:variant>
        <vt:lpwstr/>
      </vt:variant>
      <vt:variant>
        <vt:lpwstr>_Toc15513589</vt:lpwstr>
      </vt:variant>
      <vt:variant>
        <vt:i4>1966143</vt:i4>
      </vt:variant>
      <vt:variant>
        <vt:i4>1790</vt:i4>
      </vt:variant>
      <vt:variant>
        <vt:i4>0</vt:i4>
      </vt:variant>
      <vt:variant>
        <vt:i4>5</vt:i4>
      </vt:variant>
      <vt:variant>
        <vt:lpwstr/>
      </vt:variant>
      <vt:variant>
        <vt:lpwstr>_Toc15513588</vt:lpwstr>
      </vt:variant>
      <vt:variant>
        <vt:i4>1114175</vt:i4>
      </vt:variant>
      <vt:variant>
        <vt:i4>1784</vt:i4>
      </vt:variant>
      <vt:variant>
        <vt:i4>0</vt:i4>
      </vt:variant>
      <vt:variant>
        <vt:i4>5</vt:i4>
      </vt:variant>
      <vt:variant>
        <vt:lpwstr/>
      </vt:variant>
      <vt:variant>
        <vt:lpwstr>_Toc15513587</vt:lpwstr>
      </vt:variant>
      <vt:variant>
        <vt:i4>1048639</vt:i4>
      </vt:variant>
      <vt:variant>
        <vt:i4>1778</vt:i4>
      </vt:variant>
      <vt:variant>
        <vt:i4>0</vt:i4>
      </vt:variant>
      <vt:variant>
        <vt:i4>5</vt:i4>
      </vt:variant>
      <vt:variant>
        <vt:lpwstr/>
      </vt:variant>
      <vt:variant>
        <vt:lpwstr>_Toc15513586</vt:lpwstr>
      </vt:variant>
      <vt:variant>
        <vt:i4>1245247</vt:i4>
      </vt:variant>
      <vt:variant>
        <vt:i4>1772</vt:i4>
      </vt:variant>
      <vt:variant>
        <vt:i4>0</vt:i4>
      </vt:variant>
      <vt:variant>
        <vt:i4>5</vt:i4>
      </vt:variant>
      <vt:variant>
        <vt:lpwstr/>
      </vt:variant>
      <vt:variant>
        <vt:lpwstr>_Toc15513585</vt:lpwstr>
      </vt:variant>
      <vt:variant>
        <vt:i4>1179711</vt:i4>
      </vt:variant>
      <vt:variant>
        <vt:i4>1766</vt:i4>
      </vt:variant>
      <vt:variant>
        <vt:i4>0</vt:i4>
      </vt:variant>
      <vt:variant>
        <vt:i4>5</vt:i4>
      </vt:variant>
      <vt:variant>
        <vt:lpwstr/>
      </vt:variant>
      <vt:variant>
        <vt:lpwstr>_Toc15513584</vt:lpwstr>
      </vt:variant>
      <vt:variant>
        <vt:i4>1376319</vt:i4>
      </vt:variant>
      <vt:variant>
        <vt:i4>1760</vt:i4>
      </vt:variant>
      <vt:variant>
        <vt:i4>0</vt:i4>
      </vt:variant>
      <vt:variant>
        <vt:i4>5</vt:i4>
      </vt:variant>
      <vt:variant>
        <vt:lpwstr/>
      </vt:variant>
      <vt:variant>
        <vt:lpwstr>_Toc15513583</vt:lpwstr>
      </vt:variant>
      <vt:variant>
        <vt:i4>1310783</vt:i4>
      </vt:variant>
      <vt:variant>
        <vt:i4>1754</vt:i4>
      </vt:variant>
      <vt:variant>
        <vt:i4>0</vt:i4>
      </vt:variant>
      <vt:variant>
        <vt:i4>5</vt:i4>
      </vt:variant>
      <vt:variant>
        <vt:lpwstr/>
      </vt:variant>
      <vt:variant>
        <vt:lpwstr>_Toc15513582</vt:lpwstr>
      </vt:variant>
      <vt:variant>
        <vt:i4>1507391</vt:i4>
      </vt:variant>
      <vt:variant>
        <vt:i4>1748</vt:i4>
      </vt:variant>
      <vt:variant>
        <vt:i4>0</vt:i4>
      </vt:variant>
      <vt:variant>
        <vt:i4>5</vt:i4>
      </vt:variant>
      <vt:variant>
        <vt:lpwstr/>
      </vt:variant>
      <vt:variant>
        <vt:lpwstr>_Toc15513581</vt:lpwstr>
      </vt:variant>
      <vt:variant>
        <vt:i4>1441855</vt:i4>
      </vt:variant>
      <vt:variant>
        <vt:i4>1742</vt:i4>
      </vt:variant>
      <vt:variant>
        <vt:i4>0</vt:i4>
      </vt:variant>
      <vt:variant>
        <vt:i4>5</vt:i4>
      </vt:variant>
      <vt:variant>
        <vt:lpwstr/>
      </vt:variant>
      <vt:variant>
        <vt:lpwstr>_Toc15513580</vt:lpwstr>
      </vt:variant>
      <vt:variant>
        <vt:i4>2031664</vt:i4>
      </vt:variant>
      <vt:variant>
        <vt:i4>1736</vt:i4>
      </vt:variant>
      <vt:variant>
        <vt:i4>0</vt:i4>
      </vt:variant>
      <vt:variant>
        <vt:i4>5</vt:i4>
      </vt:variant>
      <vt:variant>
        <vt:lpwstr/>
      </vt:variant>
      <vt:variant>
        <vt:lpwstr>_Toc15513579</vt:lpwstr>
      </vt:variant>
      <vt:variant>
        <vt:i4>1966128</vt:i4>
      </vt:variant>
      <vt:variant>
        <vt:i4>1730</vt:i4>
      </vt:variant>
      <vt:variant>
        <vt:i4>0</vt:i4>
      </vt:variant>
      <vt:variant>
        <vt:i4>5</vt:i4>
      </vt:variant>
      <vt:variant>
        <vt:lpwstr/>
      </vt:variant>
      <vt:variant>
        <vt:lpwstr>_Toc15513578</vt:lpwstr>
      </vt:variant>
      <vt:variant>
        <vt:i4>1114160</vt:i4>
      </vt:variant>
      <vt:variant>
        <vt:i4>1724</vt:i4>
      </vt:variant>
      <vt:variant>
        <vt:i4>0</vt:i4>
      </vt:variant>
      <vt:variant>
        <vt:i4>5</vt:i4>
      </vt:variant>
      <vt:variant>
        <vt:lpwstr/>
      </vt:variant>
      <vt:variant>
        <vt:lpwstr>_Toc15513577</vt:lpwstr>
      </vt:variant>
      <vt:variant>
        <vt:i4>1048624</vt:i4>
      </vt:variant>
      <vt:variant>
        <vt:i4>1718</vt:i4>
      </vt:variant>
      <vt:variant>
        <vt:i4>0</vt:i4>
      </vt:variant>
      <vt:variant>
        <vt:i4>5</vt:i4>
      </vt:variant>
      <vt:variant>
        <vt:lpwstr/>
      </vt:variant>
      <vt:variant>
        <vt:lpwstr>_Toc15513576</vt:lpwstr>
      </vt:variant>
      <vt:variant>
        <vt:i4>1245232</vt:i4>
      </vt:variant>
      <vt:variant>
        <vt:i4>1712</vt:i4>
      </vt:variant>
      <vt:variant>
        <vt:i4>0</vt:i4>
      </vt:variant>
      <vt:variant>
        <vt:i4>5</vt:i4>
      </vt:variant>
      <vt:variant>
        <vt:lpwstr/>
      </vt:variant>
      <vt:variant>
        <vt:lpwstr>_Toc15513575</vt:lpwstr>
      </vt:variant>
      <vt:variant>
        <vt:i4>1179696</vt:i4>
      </vt:variant>
      <vt:variant>
        <vt:i4>1706</vt:i4>
      </vt:variant>
      <vt:variant>
        <vt:i4>0</vt:i4>
      </vt:variant>
      <vt:variant>
        <vt:i4>5</vt:i4>
      </vt:variant>
      <vt:variant>
        <vt:lpwstr/>
      </vt:variant>
      <vt:variant>
        <vt:lpwstr>_Toc15513574</vt:lpwstr>
      </vt:variant>
      <vt:variant>
        <vt:i4>1376304</vt:i4>
      </vt:variant>
      <vt:variant>
        <vt:i4>1700</vt:i4>
      </vt:variant>
      <vt:variant>
        <vt:i4>0</vt:i4>
      </vt:variant>
      <vt:variant>
        <vt:i4>5</vt:i4>
      </vt:variant>
      <vt:variant>
        <vt:lpwstr/>
      </vt:variant>
      <vt:variant>
        <vt:lpwstr>_Toc15513573</vt:lpwstr>
      </vt:variant>
      <vt:variant>
        <vt:i4>1310768</vt:i4>
      </vt:variant>
      <vt:variant>
        <vt:i4>1694</vt:i4>
      </vt:variant>
      <vt:variant>
        <vt:i4>0</vt:i4>
      </vt:variant>
      <vt:variant>
        <vt:i4>5</vt:i4>
      </vt:variant>
      <vt:variant>
        <vt:lpwstr/>
      </vt:variant>
      <vt:variant>
        <vt:lpwstr>_Toc15513572</vt:lpwstr>
      </vt:variant>
      <vt:variant>
        <vt:i4>1507376</vt:i4>
      </vt:variant>
      <vt:variant>
        <vt:i4>1688</vt:i4>
      </vt:variant>
      <vt:variant>
        <vt:i4>0</vt:i4>
      </vt:variant>
      <vt:variant>
        <vt:i4>5</vt:i4>
      </vt:variant>
      <vt:variant>
        <vt:lpwstr/>
      </vt:variant>
      <vt:variant>
        <vt:lpwstr>_Toc15513571</vt:lpwstr>
      </vt:variant>
      <vt:variant>
        <vt:i4>1441840</vt:i4>
      </vt:variant>
      <vt:variant>
        <vt:i4>1682</vt:i4>
      </vt:variant>
      <vt:variant>
        <vt:i4>0</vt:i4>
      </vt:variant>
      <vt:variant>
        <vt:i4>5</vt:i4>
      </vt:variant>
      <vt:variant>
        <vt:lpwstr/>
      </vt:variant>
      <vt:variant>
        <vt:lpwstr>_Toc15513570</vt:lpwstr>
      </vt:variant>
      <vt:variant>
        <vt:i4>2031665</vt:i4>
      </vt:variant>
      <vt:variant>
        <vt:i4>1676</vt:i4>
      </vt:variant>
      <vt:variant>
        <vt:i4>0</vt:i4>
      </vt:variant>
      <vt:variant>
        <vt:i4>5</vt:i4>
      </vt:variant>
      <vt:variant>
        <vt:lpwstr/>
      </vt:variant>
      <vt:variant>
        <vt:lpwstr>_Toc15513569</vt:lpwstr>
      </vt:variant>
      <vt:variant>
        <vt:i4>1966129</vt:i4>
      </vt:variant>
      <vt:variant>
        <vt:i4>1670</vt:i4>
      </vt:variant>
      <vt:variant>
        <vt:i4>0</vt:i4>
      </vt:variant>
      <vt:variant>
        <vt:i4>5</vt:i4>
      </vt:variant>
      <vt:variant>
        <vt:lpwstr/>
      </vt:variant>
      <vt:variant>
        <vt:lpwstr>_Toc15513568</vt:lpwstr>
      </vt:variant>
      <vt:variant>
        <vt:i4>1114161</vt:i4>
      </vt:variant>
      <vt:variant>
        <vt:i4>1664</vt:i4>
      </vt:variant>
      <vt:variant>
        <vt:i4>0</vt:i4>
      </vt:variant>
      <vt:variant>
        <vt:i4>5</vt:i4>
      </vt:variant>
      <vt:variant>
        <vt:lpwstr/>
      </vt:variant>
      <vt:variant>
        <vt:lpwstr>_Toc15513567</vt:lpwstr>
      </vt:variant>
      <vt:variant>
        <vt:i4>1048625</vt:i4>
      </vt:variant>
      <vt:variant>
        <vt:i4>1658</vt:i4>
      </vt:variant>
      <vt:variant>
        <vt:i4>0</vt:i4>
      </vt:variant>
      <vt:variant>
        <vt:i4>5</vt:i4>
      </vt:variant>
      <vt:variant>
        <vt:lpwstr/>
      </vt:variant>
      <vt:variant>
        <vt:lpwstr>_Toc15513566</vt:lpwstr>
      </vt:variant>
      <vt:variant>
        <vt:i4>1245233</vt:i4>
      </vt:variant>
      <vt:variant>
        <vt:i4>1652</vt:i4>
      </vt:variant>
      <vt:variant>
        <vt:i4>0</vt:i4>
      </vt:variant>
      <vt:variant>
        <vt:i4>5</vt:i4>
      </vt:variant>
      <vt:variant>
        <vt:lpwstr/>
      </vt:variant>
      <vt:variant>
        <vt:lpwstr>_Toc15513565</vt:lpwstr>
      </vt:variant>
      <vt:variant>
        <vt:i4>1179697</vt:i4>
      </vt:variant>
      <vt:variant>
        <vt:i4>1646</vt:i4>
      </vt:variant>
      <vt:variant>
        <vt:i4>0</vt:i4>
      </vt:variant>
      <vt:variant>
        <vt:i4>5</vt:i4>
      </vt:variant>
      <vt:variant>
        <vt:lpwstr/>
      </vt:variant>
      <vt:variant>
        <vt:lpwstr>_Toc15513564</vt:lpwstr>
      </vt:variant>
      <vt:variant>
        <vt:i4>1376305</vt:i4>
      </vt:variant>
      <vt:variant>
        <vt:i4>1640</vt:i4>
      </vt:variant>
      <vt:variant>
        <vt:i4>0</vt:i4>
      </vt:variant>
      <vt:variant>
        <vt:i4>5</vt:i4>
      </vt:variant>
      <vt:variant>
        <vt:lpwstr/>
      </vt:variant>
      <vt:variant>
        <vt:lpwstr>_Toc15513563</vt:lpwstr>
      </vt:variant>
      <vt:variant>
        <vt:i4>1310769</vt:i4>
      </vt:variant>
      <vt:variant>
        <vt:i4>1634</vt:i4>
      </vt:variant>
      <vt:variant>
        <vt:i4>0</vt:i4>
      </vt:variant>
      <vt:variant>
        <vt:i4>5</vt:i4>
      </vt:variant>
      <vt:variant>
        <vt:lpwstr/>
      </vt:variant>
      <vt:variant>
        <vt:lpwstr>_Toc15513562</vt:lpwstr>
      </vt:variant>
      <vt:variant>
        <vt:i4>1507377</vt:i4>
      </vt:variant>
      <vt:variant>
        <vt:i4>1628</vt:i4>
      </vt:variant>
      <vt:variant>
        <vt:i4>0</vt:i4>
      </vt:variant>
      <vt:variant>
        <vt:i4>5</vt:i4>
      </vt:variant>
      <vt:variant>
        <vt:lpwstr/>
      </vt:variant>
      <vt:variant>
        <vt:lpwstr>_Toc15513561</vt:lpwstr>
      </vt:variant>
      <vt:variant>
        <vt:i4>1441841</vt:i4>
      </vt:variant>
      <vt:variant>
        <vt:i4>1622</vt:i4>
      </vt:variant>
      <vt:variant>
        <vt:i4>0</vt:i4>
      </vt:variant>
      <vt:variant>
        <vt:i4>5</vt:i4>
      </vt:variant>
      <vt:variant>
        <vt:lpwstr/>
      </vt:variant>
      <vt:variant>
        <vt:lpwstr>_Toc15513560</vt:lpwstr>
      </vt:variant>
      <vt:variant>
        <vt:i4>2031666</vt:i4>
      </vt:variant>
      <vt:variant>
        <vt:i4>1616</vt:i4>
      </vt:variant>
      <vt:variant>
        <vt:i4>0</vt:i4>
      </vt:variant>
      <vt:variant>
        <vt:i4>5</vt:i4>
      </vt:variant>
      <vt:variant>
        <vt:lpwstr/>
      </vt:variant>
      <vt:variant>
        <vt:lpwstr>_Toc15513559</vt:lpwstr>
      </vt:variant>
      <vt:variant>
        <vt:i4>1966130</vt:i4>
      </vt:variant>
      <vt:variant>
        <vt:i4>1610</vt:i4>
      </vt:variant>
      <vt:variant>
        <vt:i4>0</vt:i4>
      </vt:variant>
      <vt:variant>
        <vt:i4>5</vt:i4>
      </vt:variant>
      <vt:variant>
        <vt:lpwstr/>
      </vt:variant>
      <vt:variant>
        <vt:lpwstr>_Toc15513558</vt:lpwstr>
      </vt:variant>
      <vt:variant>
        <vt:i4>1114162</vt:i4>
      </vt:variant>
      <vt:variant>
        <vt:i4>1604</vt:i4>
      </vt:variant>
      <vt:variant>
        <vt:i4>0</vt:i4>
      </vt:variant>
      <vt:variant>
        <vt:i4>5</vt:i4>
      </vt:variant>
      <vt:variant>
        <vt:lpwstr/>
      </vt:variant>
      <vt:variant>
        <vt:lpwstr>_Toc15513557</vt:lpwstr>
      </vt:variant>
      <vt:variant>
        <vt:i4>1048626</vt:i4>
      </vt:variant>
      <vt:variant>
        <vt:i4>1598</vt:i4>
      </vt:variant>
      <vt:variant>
        <vt:i4>0</vt:i4>
      </vt:variant>
      <vt:variant>
        <vt:i4>5</vt:i4>
      </vt:variant>
      <vt:variant>
        <vt:lpwstr/>
      </vt:variant>
      <vt:variant>
        <vt:lpwstr>_Toc15513556</vt:lpwstr>
      </vt:variant>
      <vt:variant>
        <vt:i4>1245234</vt:i4>
      </vt:variant>
      <vt:variant>
        <vt:i4>1592</vt:i4>
      </vt:variant>
      <vt:variant>
        <vt:i4>0</vt:i4>
      </vt:variant>
      <vt:variant>
        <vt:i4>5</vt:i4>
      </vt:variant>
      <vt:variant>
        <vt:lpwstr/>
      </vt:variant>
      <vt:variant>
        <vt:lpwstr>_Toc15513555</vt:lpwstr>
      </vt:variant>
      <vt:variant>
        <vt:i4>1179698</vt:i4>
      </vt:variant>
      <vt:variant>
        <vt:i4>1586</vt:i4>
      </vt:variant>
      <vt:variant>
        <vt:i4>0</vt:i4>
      </vt:variant>
      <vt:variant>
        <vt:i4>5</vt:i4>
      </vt:variant>
      <vt:variant>
        <vt:lpwstr/>
      </vt:variant>
      <vt:variant>
        <vt:lpwstr>_Toc15513554</vt:lpwstr>
      </vt:variant>
      <vt:variant>
        <vt:i4>1376306</vt:i4>
      </vt:variant>
      <vt:variant>
        <vt:i4>1580</vt:i4>
      </vt:variant>
      <vt:variant>
        <vt:i4>0</vt:i4>
      </vt:variant>
      <vt:variant>
        <vt:i4>5</vt:i4>
      </vt:variant>
      <vt:variant>
        <vt:lpwstr/>
      </vt:variant>
      <vt:variant>
        <vt:lpwstr>_Toc15513553</vt:lpwstr>
      </vt:variant>
      <vt:variant>
        <vt:i4>1310770</vt:i4>
      </vt:variant>
      <vt:variant>
        <vt:i4>1574</vt:i4>
      </vt:variant>
      <vt:variant>
        <vt:i4>0</vt:i4>
      </vt:variant>
      <vt:variant>
        <vt:i4>5</vt:i4>
      </vt:variant>
      <vt:variant>
        <vt:lpwstr/>
      </vt:variant>
      <vt:variant>
        <vt:lpwstr>_Toc15513552</vt:lpwstr>
      </vt:variant>
      <vt:variant>
        <vt:i4>1507378</vt:i4>
      </vt:variant>
      <vt:variant>
        <vt:i4>1568</vt:i4>
      </vt:variant>
      <vt:variant>
        <vt:i4>0</vt:i4>
      </vt:variant>
      <vt:variant>
        <vt:i4>5</vt:i4>
      </vt:variant>
      <vt:variant>
        <vt:lpwstr/>
      </vt:variant>
      <vt:variant>
        <vt:lpwstr>_Toc15513551</vt:lpwstr>
      </vt:variant>
      <vt:variant>
        <vt:i4>1441842</vt:i4>
      </vt:variant>
      <vt:variant>
        <vt:i4>1562</vt:i4>
      </vt:variant>
      <vt:variant>
        <vt:i4>0</vt:i4>
      </vt:variant>
      <vt:variant>
        <vt:i4>5</vt:i4>
      </vt:variant>
      <vt:variant>
        <vt:lpwstr/>
      </vt:variant>
      <vt:variant>
        <vt:lpwstr>_Toc15513550</vt:lpwstr>
      </vt:variant>
      <vt:variant>
        <vt:i4>2031667</vt:i4>
      </vt:variant>
      <vt:variant>
        <vt:i4>1556</vt:i4>
      </vt:variant>
      <vt:variant>
        <vt:i4>0</vt:i4>
      </vt:variant>
      <vt:variant>
        <vt:i4>5</vt:i4>
      </vt:variant>
      <vt:variant>
        <vt:lpwstr/>
      </vt:variant>
      <vt:variant>
        <vt:lpwstr>_Toc15513549</vt:lpwstr>
      </vt:variant>
      <vt:variant>
        <vt:i4>1966131</vt:i4>
      </vt:variant>
      <vt:variant>
        <vt:i4>1550</vt:i4>
      </vt:variant>
      <vt:variant>
        <vt:i4>0</vt:i4>
      </vt:variant>
      <vt:variant>
        <vt:i4>5</vt:i4>
      </vt:variant>
      <vt:variant>
        <vt:lpwstr/>
      </vt:variant>
      <vt:variant>
        <vt:lpwstr>_Toc15513548</vt:lpwstr>
      </vt:variant>
      <vt:variant>
        <vt:i4>1114163</vt:i4>
      </vt:variant>
      <vt:variant>
        <vt:i4>1544</vt:i4>
      </vt:variant>
      <vt:variant>
        <vt:i4>0</vt:i4>
      </vt:variant>
      <vt:variant>
        <vt:i4>5</vt:i4>
      </vt:variant>
      <vt:variant>
        <vt:lpwstr/>
      </vt:variant>
      <vt:variant>
        <vt:lpwstr>_Toc15513547</vt:lpwstr>
      </vt:variant>
      <vt:variant>
        <vt:i4>1048627</vt:i4>
      </vt:variant>
      <vt:variant>
        <vt:i4>1538</vt:i4>
      </vt:variant>
      <vt:variant>
        <vt:i4>0</vt:i4>
      </vt:variant>
      <vt:variant>
        <vt:i4>5</vt:i4>
      </vt:variant>
      <vt:variant>
        <vt:lpwstr/>
      </vt:variant>
      <vt:variant>
        <vt:lpwstr>_Toc15513546</vt:lpwstr>
      </vt:variant>
      <vt:variant>
        <vt:i4>1245235</vt:i4>
      </vt:variant>
      <vt:variant>
        <vt:i4>1532</vt:i4>
      </vt:variant>
      <vt:variant>
        <vt:i4>0</vt:i4>
      </vt:variant>
      <vt:variant>
        <vt:i4>5</vt:i4>
      </vt:variant>
      <vt:variant>
        <vt:lpwstr/>
      </vt:variant>
      <vt:variant>
        <vt:lpwstr>_Toc15513545</vt:lpwstr>
      </vt:variant>
      <vt:variant>
        <vt:i4>1179699</vt:i4>
      </vt:variant>
      <vt:variant>
        <vt:i4>1526</vt:i4>
      </vt:variant>
      <vt:variant>
        <vt:i4>0</vt:i4>
      </vt:variant>
      <vt:variant>
        <vt:i4>5</vt:i4>
      </vt:variant>
      <vt:variant>
        <vt:lpwstr/>
      </vt:variant>
      <vt:variant>
        <vt:lpwstr>_Toc15513544</vt:lpwstr>
      </vt:variant>
      <vt:variant>
        <vt:i4>1376307</vt:i4>
      </vt:variant>
      <vt:variant>
        <vt:i4>1520</vt:i4>
      </vt:variant>
      <vt:variant>
        <vt:i4>0</vt:i4>
      </vt:variant>
      <vt:variant>
        <vt:i4>5</vt:i4>
      </vt:variant>
      <vt:variant>
        <vt:lpwstr/>
      </vt:variant>
      <vt:variant>
        <vt:lpwstr>_Toc15513543</vt:lpwstr>
      </vt:variant>
      <vt:variant>
        <vt:i4>1310771</vt:i4>
      </vt:variant>
      <vt:variant>
        <vt:i4>1514</vt:i4>
      </vt:variant>
      <vt:variant>
        <vt:i4>0</vt:i4>
      </vt:variant>
      <vt:variant>
        <vt:i4>5</vt:i4>
      </vt:variant>
      <vt:variant>
        <vt:lpwstr/>
      </vt:variant>
      <vt:variant>
        <vt:lpwstr>_Toc15513542</vt:lpwstr>
      </vt:variant>
      <vt:variant>
        <vt:i4>1507379</vt:i4>
      </vt:variant>
      <vt:variant>
        <vt:i4>1508</vt:i4>
      </vt:variant>
      <vt:variant>
        <vt:i4>0</vt:i4>
      </vt:variant>
      <vt:variant>
        <vt:i4>5</vt:i4>
      </vt:variant>
      <vt:variant>
        <vt:lpwstr/>
      </vt:variant>
      <vt:variant>
        <vt:lpwstr>_Toc15513541</vt:lpwstr>
      </vt:variant>
      <vt:variant>
        <vt:i4>1441843</vt:i4>
      </vt:variant>
      <vt:variant>
        <vt:i4>1502</vt:i4>
      </vt:variant>
      <vt:variant>
        <vt:i4>0</vt:i4>
      </vt:variant>
      <vt:variant>
        <vt:i4>5</vt:i4>
      </vt:variant>
      <vt:variant>
        <vt:lpwstr/>
      </vt:variant>
      <vt:variant>
        <vt:lpwstr>_Toc15513540</vt:lpwstr>
      </vt:variant>
      <vt:variant>
        <vt:i4>2031668</vt:i4>
      </vt:variant>
      <vt:variant>
        <vt:i4>1496</vt:i4>
      </vt:variant>
      <vt:variant>
        <vt:i4>0</vt:i4>
      </vt:variant>
      <vt:variant>
        <vt:i4>5</vt:i4>
      </vt:variant>
      <vt:variant>
        <vt:lpwstr/>
      </vt:variant>
      <vt:variant>
        <vt:lpwstr>_Toc15513539</vt:lpwstr>
      </vt:variant>
      <vt:variant>
        <vt:i4>1966132</vt:i4>
      </vt:variant>
      <vt:variant>
        <vt:i4>1490</vt:i4>
      </vt:variant>
      <vt:variant>
        <vt:i4>0</vt:i4>
      </vt:variant>
      <vt:variant>
        <vt:i4>5</vt:i4>
      </vt:variant>
      <vt:variant>
        <vt:lpwstr/>
      </vt:variant>
      <vt:variant>
        <vt:lpwstr>_Toc15513538</vt:lpwstr>
      </vt:variant>
      <vt:variant>
        <vt:i4>1114164</vt:i4>
      </vt:variant>
      <vt:variant>
        <vt:i4>1484</vt:i4>
      </vt:variant>
      <vt:variant>
        <vt:i4>0</vt:i4>
      </vt:variant>
      <vt:variant>
        <vt:i4>5</vt:i4>
      </vt:variant>
      <vt:variant>
        <vt:lpwstr/>
      </vt:variant>
      <vt:variant>
        <vt:lpwstr>_Toc15513537</vt:lpwstr>
      </vt:variant>
      <vt:variant>
        <vt:i4>1048628</vt:i4>
      </vt:variant>
      <vt:variant>
        <vt:i4>1478</vt:i4>
      </vt:variant>
      <vt:variant>
        <vt:i4>0</vt:i4>
      </vt:variant>
      <vt:variant>
        <vt:i4>5</vt:i4>
      </vt:variant>
      <vt:variant>
        <vt:lpwstr/>
      </vt:variant>
      <vt:variant>
        <vt:lpwstr>_Toc15513536</vt:lpwstr>
      </vt:variant>
      <vt:variant>
        <vt:i4>1245236</vt:i4>
      </vt:variant>
      <vt:variant>
        <vt:i4>1472</vt:i4>
      </vt:variant>
      <vt:variant>
        <vt:i4>0</vt:i4>
      </vt:variant>
      <vt:variant>
        <vt:i4>5</vt:i4>
      </vt:variant>
      <vt:variant>
        <vt:lpwstr/>
      </vt:variant>
      <vt:variant>
        <vt:lpwstr>_Toc15513535</vt:lpwstr>
      </vt:variant>
      <vt:variant>
        <vt:i4>1179700</vt:i4>
      </vt:variant>
      <vt:variant>
        <vt:i4>1466</vt:i4>
      </vt:variant>
      <vt:variant>
        <vt:i4>0</vt:i4>
      </vt:variant>
      <vt:variant>
        <vt:i4>5</vt:i4>
      </vt:variant>
      <vt:variant>
        <vt:lpwstr/>
      </vt:variant>
      <vt:variant>
        <vt:lpwstr>_Toc15513534</vt:lpwstr>
      </vt:variant>
      <vt:variant>
        <vt:i4>1376308</vt:i4>
      </vt:variant>
      <vt:variant>
        <vt:i4>1460</vt:i4>
      </vt:variant>
      <vt:variant>
        <vt:i4>0</vt:i4>
      </vt:variant>
      <vt:variant>
        <vt:i4>5</vt:i4>
      </vt:variant>
      <vt:variant>
        <vt:lpwstr/>
      </vt:variant>
      <vt:variant>
        <vt:lpwstr>_Toc15513533</vt:lpwstr>
      </vt:variant>
      <vt:variant>
        <vt:i4>1310772</vt:i4>
      </vt:variant>
      <vt:variant>
        <vt:i4>1454</vt:i4>
      </vt:variant>
      <vt:variant>
        <vt:i4>0</vt:i4>
      </vt:variant>
      <vt:variant>
        <vt:i4>5</vt:i4>
      </vt:variant>
      <vt:variant>
        <vt:lpwstr/>
      </vt:variant>
      <vt:variant>
        <vt:lpwstr>_Toc15513532</vt:lpwstr>
      </vt:variant>
      <vt:variant>
        <vt:i4>1507380</vt:i4>
      </vt:variant>
      <vt:variant>
        <vt:i4>1448</vt:i4>
      </vt:variant>
      <vt:variant>
        <vt:i4>0</vt:i4>
      </vt:variant>
      <vt:variant>
        <vt:i4>5</vt:i4>
      </vt:variant>
      <vt:variant>
        <vt:lpwstr/>
      </vt:variant>
      <vt:variant>
        <vt:lpwstr>_Toc15513531</vt:lpwstr>
      </vt:variant>
      <vt:variant>
        <vt:i4>1441844</vt:i4>
      </vt:variant>
      <vt:variant>
        <vt:i4>1442</vt:i4>
      </vt:variant>
      <vt:variant>
        <vt:i4>0</vt:i4>
      </vt:variant>
      <vt:variant>
        <vt:i4>5</vt:i4>
      </vt:variant>
      <vt:variant>
        <vt:lpwstr/>
      </vt:variant>
      <vt:variant>
        <vt:lpwstr>_Toc15513530</vt:lpwstr>
      </vt:variant>
      <vt:variant>
        <vt:i4>2031669</vt:i4>
      </vt:variant>
      <vt:variant>
        <vt:i4>1436</vt:i4>
      </vt:variant>
      <vt:variant>
        <vt:i4>0</vt:i4>
      </vt:variant>
      <vt:variant>
        <vt:i4>5</vt:i4>
      </vt:variant>
      <vt:variant>
        <vt:lpwstr/>
      </vt:variant>
      <vt:variant>
        <vt:lpwstr>_Toc15513529</vt:lpwstr>
      </vt:variant>
      <vt:variant>
        <vt:i4>1966133</vt:i4>
      </vt:variant>
      <vt:variant>
        <vt:i4>1430</vt:i4>
      </vt:variant>
      <vt:variant>
        <vt:i4>0</vt:i4>
      </vt:variant>
      <vt:variant>
        <vt:i4>5</vt:i4>
      </vt:variant>
      <vt:variant>
        <vt:lpwstr/>
      </vt:variant>
      <vt:variant>
        <vt:lpwstr>_Toc15513528</vt:lpwstr>
      </vt:variant>
      <vt:variant>
        <vt:i4>1114165</vt:i4>
      </vt:variant>
      <vt:variant>
        <vt:i4>1424</vt:i4>
      </vt:variant>
      <vt:variant>
        <vt:i4>0</vt:i4>
      </vt:variant>
      <vt:variant>
        <vt:i4>5</vt:i4>
      </vt:variant>
      <vt:variant>
        <vt:lpwstr/>
      </vt:variant>
      <vt:variant>
        <vt:lpwstr>_Toc15513527</vt:lpwstr>
      </vt:variant>
      <vt:variant>
        <vt:i4>1048629</vt:i4>
      </vt:variant>
      <vt:variant>
        <vt:i4>1418</vt:i4>
      </vt:variant>
      <vt:variant>
        <vt:i4>0</vt:i4>
      </vt:variant>
      <vt:variant>
        <vt:i4>5</vt:i4>
      </vt:variant>
      <vt:variant>
        <vt:lpwstr/>
      </vt:variant>
      <vt:variant>
        <vt:lpwstr>_Toc15513526</vt:lpwstr>
      </vt:variant>
      <vt:variant>
        <vt:i4>1245237</vt:i4>
      </vt:variant>
      <vt:variant>
        <vt:i4>1412</vt:i4>
      </vt:variant>
      <vt:variant>
        <vt:i4>0</vt:i4>
      </vt:variant>
      <vt:variant>
        <vt:i4>5</vt:i4>
      </vt:variant>
      <vt:variant>
        <vt:lpwstr/>
      </vt:variant>
      <vt:variant>
        <vt:lpwstr>_Toc15513525</vt:lpwstr>
      </vt:variant>
      <vt:variant>
        <vt:i4>1179701</vt:i4>
      </vt:variant>
      <vt:variant>
        <vt:i4>1406</vt:i4>
      </vt:variant>
      <vt:variant>
        <vt:i4>0</vt:i4>
      </vt:variant>
      <vt:variant>
        <vt:i4>5</vt:i4>
      </vt:variant>
      <vt:variant>
        <vt:lpwstr/>
      </vt:variant>
      <vt:variant>
        <vt:lpwstr>_Toc15513524</vt:lpwstr>
      </vt:variant>
      <vt:variant>
        <vt:i4>1376309</vt:i4>
      </vt:variant>
      <vt:variant>
        <vt:i4>1400</vt:i4>
      </vt:variant>
      <vt:variant>
        <vt:i4>0</vt:i4>
      </vt:variant>
      <vt:variant>
        <vt:i4>5</vt:i4>
      </vt:variant>
      <vt:variant>
        <vt:lpwstr/>
      </vt:variant>
      <vt:variant>
        <vt:lpwstr>_Toc15513523</vt:lpwstr>
      </vt:variant>
      <vt:variant>
        <vt:i4>1310773</vt:i4>
      </vt:variant>
      <vt:variant>
        <vt:i4>1394</vt:i4>
      </vt:variant>
      <vt:variant>
        <vt:i4>0</vt:i4>
      </vt:variant>
      <vt:variant>
        <vt:i4>5</vt:i4>
      </vt:variant>
      <vt:variant>
        <vt:lpwstr/>
      </vt:variant>
      <vt:variant>
        <vt:lpwstr>_Toc15513522</vt:lpwstr>
      </vt:variant>
      <vt:variant>
        <vt:i4>1507381</vt:i4>
      </vt:variant>
      <vt:variant>
        <vt:i4>1388</vt:i4>
      </vt:variant>
      <vt:variant>
        <vt:i4>0</vt:i4>
      </vt:variant>
      <vt:variant>
        <vt:i4>5</vt:i4>
      </vt:variant>
      <vt:variant>
        <vt:lpwstr/>
      </vt:variant>
      <vt:variant>
        <vt:lpwstr>_Toc15513521</vt:lpwstr>
      </vt:variant>
      <vt:variant>
        <vt:i4>1441845</vt:i4>
      </vt:variant>
      <vt:variant>
        <vt:i4>1382</vt:i4>
      </vt:variant>
      <vt:variant>
        <vt:i4>0</vt:i4>
      </vt:variant>
      <vt:variant>
        <vt:i4>5</vt:i4>
      </vt:variant>
      <vt:variant>
        <vt:lpwstr/>
      </vt:variant>
      <vt:variant>
        <vt:lpwstr>_Toc15513520</vt:lpwstr>
      </vt:variant>
      <vt:variant>
        <vt:i4>2031670</vt:i4>
      </vt:variant>
      <vt:variant>
        <vt:i4>1376</vt:i4>
      </vt:variant>
      <vt:variant>
        <vt:i4>0</vt:i4>
      </vt:variant>
      <vt:variant>
        <vt:i4>5</vt:i4>
      </vt:variant>
      <vt:variant>
        <vt:lpwstr/>
      </vt:variant>
      <vt:variant>
        <vt:lpwstr>_Toc15513519</vt:lpwstr>
      </vt:variant>
      <vt:variant>
        <vt:i4>1966134</vt:i4>
      </vt:variant>
      <vt:variant>
        <vt:i4>1370</vt:i4>
      </vt:variant>
      <vt:variant>
        <vt:i4>0</vt:i4>
      </vt:variant>
      <vt:variant>
        <vt:i4>5</vt:i4>
      </vt:variant>
      <vt:variant>
        <vt:lpwstr/>
      </vt:variant>
      <vt:variant>
        <vt:lpwstr>_Toc15513518</vt:lpwstr>
      </vt:variant>
      <vt:variant>
        <vt:i4>1114166</vt:i4>
      </vt:variant>
      <vt:variant>
        <vt:i4>1364</vt:i4>
      </vt:variant>
      <vt:variant>
        <vt:i4>0</vt:i4>
      </vt:variant>
      <vt:variant>
        <vt:i4>5</vt:i4>
      </vt:variant>
      <vt:variant>
        <vt:lpwstr/>
      </vt:variant>
      <vt:variant>
        <vt:lpwstr>_Toc15513517</vt:lpwstr>
      </vt:variant>
      <vt:variant>
        <vt:i4>1048630</vt:i4>
      </vt:variant>
      <vt:variant>
        <vt:i4>1358</vt:i4>
      </vt:variant>
      <vt:variant>
        <vt:i4>0</vt:i4>
      </vt:variant>
      <vt:variant>
        <vt:i4>5</vt:i4>
      </vt:variant>
      <vt:variant>
        <vt:lpwstr/>
      </vt:variant>
      <vt:variant>
        <vt:lpwstr>_Toc15513516</vt:lpwstr>
      </vt:variant>
      <vt:variant>
        <vt:i4>1245238</vt:i4>
      </vt:variant>
      <vt:variant>
        <vt:i4>1352</vt:i4>
      </vt:variant>
      <vt:variant>
        <vt:i4>0</vt:i4>
      </vt:variant>
      <vt:variant>
        <vt:i4>5</vt:i4>
      </vt:variant>
      <vt:variant>
        <vt:lpwstr/>
      </vt:variant>
      <vt:variant>
        <vt:lpwstr>_Toc15513515</vt:lpwstr>
      </vt:variant>
      <vt:variant>
        <vt:i4>1179702</vt:i4>
      </vt:variant>
      <vt:variant>
        <vt:i4>1346</vt:i4>
      </vt:variant>
      <vt:variant>
        <vt:i4>0</vt:i4>
      </vt:variant>
      <vt:variant>
        <vt:i4>5</vt:i4>
      </vt:variant>
      <vt:variant>
        <vt:lpwstr/>
      </vt:variant>
      <vt:variant>
        <vt:lpwstr>_Toc15513514</vt:lpwstr>
      </vt:variant>
      <vt:variant>
        <vt:i4>1376310</vt:i4>
      </vt:variant>
      <vt:variant>
        <vt:i4>1340</vt:i4>
      </vt:variant>
      <vt:variant>
        <vt:i4>0</vt:i4>
      </vt:variant>
      <vt:variant>
        <vt:i4>5</vt:i4>
      </vt:variant>
      <vt:variant>
        <vt:lpwstr/>
      </vt:variant>
      <vt:variant>
        <vt:lpwstr>_Toc15513513</vt:lpwstr>
      </vt:variant>
      <vt:variant>
        <vt:i4>1310774</vt:i4>
      </vt:variant>
      <vt:variant>
        <vt:i4>1334</vt:i4>
      </vt:variant>
      <vt:variant>
        <vt:i4>0</vt:i4>
      </vt:variant>
      <vt:variant>
        <vt:i4>5</vt:i4>
      </vt:variant>
      <vt:variant>
        <vt:lpwstr/>
      </vt:variant>
      <vt:variant>
        <vt:lpwstr>_Toc15513512</vt:lpwstr>
      </vt:variant>
      <vt:variant>
        <vt:i4>1507382</vt:i4>
      </vt:variant>
      <vt:variant>
        <vt:i4>1328</vt:i4>
      </vt:variant>
      <vt:variant>
        <vt:i4>0</vt:i4>
      </vt:variant>
      <vt:variant>
        <vt:i4>5</vt:i4>
      </vt:variant>
      <vt:variant>
        <vt:lpwstr/>
      </vt:variant>
      <vt:variant>
        <vt:lpwstr>_Toc15513511</vt:lpwstr>
      </vt:variant>
      <vt:variant>
        <vt:i4>1441846</vt:i4>
      </vt:variant>
      <vt:variant>
        <vt:i4>1322</vt:i4>
      </vt:variant>
      <vt:variant>
        <vt:i4>0</vt:i4>
      </vt:variant>
      <vt:variant>
        <vt:i4>5</vt:i4>
      </vt:variant>
      <vt:variant>
        <vt:lpwstr/>
      </vt:variant>
      <vt:variant>
        <vt:lpwstr>_Toc15513510</vt:lpwstr>
      </vt:variant>
      <vt:variant>
        <vt:i4>2031671</vt:i4>
      </vt:variant>
      <vt:variant>
        <vt:i4>1316</vt:i4>
      </vt:variant>
      <vt:variant>
        <vt:i4>0</vt:i4>
      </vt:variant>
      <vt:variant>
        <vt:i4>5</vt:i4>
      </vt:variant>
      <vt:variant>
        <vt:lpwstr/>
      </vt:variant>
      <vt:variant>
        <vt:lpwstr>_Toc15513509</vt:lpwstr>
      </vt:variant>
      <vt:variant>
        <vt:i4>1966135</vt:i4>
      </vt:variant>
      <vt:variant>
        <vt:i4>1310</vt:i4>
      </vt:variant>
      <vt:variant>
        <vt:i4>0</vt:i4>
      </vt:variant>
      <vt:variant>
        <vt:i4>5</vt:i4>
      </vt:variant>
      <vt:variant>
        <vt:lpwstr/>
      </vt:variant>
      <vt:variant>
        <vt:lpwstr>_Toc15513508</vt:lpwstr>
      </vt:variant>
      <vt:variant>
        <vt:i4>1114167</vt:i4>
      </vt:variant>
      <vt:variant>
        <vt:i4>1304</vt:i4>
      </vt:variant>
      <vt:variant>
        <vt:i4>0</vt:i4>
      </vt:variant>
      <vt:variant>
        <vt:i4>5</vt:i4>
      </vt:variant>
      <vt:variant>
        <vt:lpwstr/>
      </vt:variant>
      <vt:variant>
        <vt:lpwstr>_Toc15513507</vt:lpwstr>
      </vt:variant>
      <vt:variant>
        <vt:i4>1048631</vt:i4>
      </vt:variant>
      <vt:variant>
        <vt:i4>1298</vt:i4>
      </vt:variant>
      <vt:variant>
        <vt:i4>0</vt:i4>
      </vt:variant>
      <vt:variant>
        <vt:i4>5</vt:i4>
      </vt:variant>
      <vt:variant>
        <vt:lpwstr/>
      </vt:variant>
      <vt:variant>
        <vt:lpwstr>_Toc15513506</vt:lpwstr>
      </vt:variant>
      <vt:variant>
        <vt:i4>1245239</vt:i4>
      </vt:variant>
      <vt:variant>
        <vt:i4>1292</vt:i4>
      </vt:variant>
      <vt:variant>
        <vt:i4>0</vt:i4>
      </vt:variant>
      <vt:variant>
        <vt:i4>5</vt:i4>
      </vt:variant>
      <vt:variant>
        <vt:lpwstr/>
      </vt:variant>
      <vt:variant>
        <vt:lpwstr>_Toc15513505</vt:lpwstr>
      </vt:variant>
      <vt:variant>
        <vt:i4>1179703</vt:i4>
      </vt:variant>
      <vt:variant>
        <vt:i4>1286</vt:i4>
      </vt:variant>
      <vt:variant>
        <vt:i4>0</vt:i4>
      </vt:variant>
      <vt:variant>
        <vt:i4>5</vt:i4>
      </vt:variant>
      <vt:variant>
        <vt:lpwstr/>
      </vt:variant>
      <vt:variant>
        <vt:lpwstr>_Toc15513504</vt:lpwstr>
      </vt:variant>
      <vt:variant>
        <vt:i4>1376311</vt:i4>
      </vt:variant>
      <vt:variant>
        <vt:i4>1280</vt:i4>
      </vt:variant>
      <vt:variant>
        <vt:i4>0</vt:i4>
      </vt:variant>
      <vt:variant>
        <vt:i4>5</vt:i4>
      </vt:variant>
      <vt:variant>
        <vt:lpwstr/>
      </vt:variant>
      <vt:variant>
        <vt:lpwstr>_Toc15513503</vt:lpwstr>
      </vt:variant>
      <vt:variant>
        <vt:i4>1310775</vt:i4>
      </vt:variant>
      <vt:variant>
        <vt:i4>1274</vt:i4>
      </vt:variant>
      <vt:variant>
        <vt:i4>0</vt:i4>
      </vt:variant>
      <vt:variant>
        <vt:i4>5</vt:i4>
      </vt:variant>
      <vt:variant>
        <vt:lpwstr/>
      </vt:variant>
      <vt:variant>
        <vt:lpwstr>_Toc15513502</vt:lpwstr>
      </vt:variant>
      <vt:variant>
        <vt:i4>1507383</vt:i4>
      </vt:variant>
      <vt:variant>
        <vt:i4>1268</vt:i4>
      </vt:variant>
      <vt:variant>
        <vt:i4>0</vt:i4>
      </vt:variant>
      <vt:variant>
        <vt:i4>5</vt:i4>
      </vt:variant>
      <vt:variant>
        <vt:lpwstr/>
      </vt:variant>
      <vt:variant>
        <vt:lpwstr>_Toc15513501</vt:lpwstr>
      </vt:variant>
      <vt:variant>
        <vt:i4>1245236</vt:i4>
      </vt:variant>
      <vt:variant>
        <vt:i4>1259</vt:i4>
      </vt:variant>
      <vt:variant>
        <vt:i4>0</vt:i4>
      </vt:variant>
      <vt:variant>
        <vt:i4>5</vt:i4>
      </vt:variant>
      <vt:variant>
        <vt:lpwstr/>
      </vt:variant>
      <vt:variant>
        <vt:lpwstr>_Toc15515555</vt:lpwstr>
      </vt:variant>
      <vt:variant>
        <vt:i4>1179700</vt:i4>
      </vt:variant>
      <vt:variant>
        <vt:i4>1253</vt:i4>
      </vt:variant>
      <vt:variant>
        <vt:i4>0</vt:i4>
      </vt:variant>
      <vt:variant>
        <vt:i4>5</vt:i4>
      </vt:variant>
      <vt:variant>
        <vt:lpwstr/>
      </vt:variant>
      <vt:variant>
        <vt:lpwstr>_Toc15515554</vt:lpwstr>
      </vt:variant>
      <vt:variant>
        <vt:i4>1376308</vt:i4>
      </vt:variant>
      <vt:variant>
        <vt:i4>1247</vt:i4>
      </vt:variant>
      <vt:variant>
        <vt:i4>0</vt:i4>
      </vt:variant>
      <vt:variant>
        <vt:i4>5</vt:i4>
      </vt:variant>
      <vt:variant>
        <vt:lpwstr/>
      </vt:variant>
      <vt:variant>
        <vt:lpwstr>_Toc15515553</vt:lpwstr>
      </vt:variant>
      <vt:variant>
        <vt:i4>1310772</vt:i4>
      </vt:variant>
      <vt:variant>
        <vt:i4>1241</vt:i4>
      </vt:variant>
      <vt:variant>
        <vt:i4>0</vt:i4>
      </vt:variant>
      <vt:variant>
        <vt:i4>5</vt:i4>
      </vt:variant>
      <vt:variant>
        <vt:lpwstr/>
      </vt:variant>
      <vt:variant>
        <vt:lpwstr>_Toc15515552</vt:lpwstr>
      </vt:variant>
      <vt:variant>
        <vt:i4>1507380</vt:i4>
      </vt:variant>
      <vt:variant>
        <vt:i4>1235</vt:i4>
      </vt:variant>
      <vt:variant>
        <vt:i4>0</vt:i4>
      </vt:variant>
      <vt:variant>
        <vt:i4>5</vt:i4>
      </vt:variant>
      <vt:variant>
        <vt:lpwstr/>
      </vt:variant>
      <vt:variant>
        <vt:lpwstr>_Toc15515551</vt:lpwstr>
      </vt:variant>
      <vt:variant>
        <vt:i4>1441844</vt:i4>
      </vt:variant>
      <vt:variant>
        <vt:i4>1229</vt:i4>
      </vt:variant>
      <vt:variant>
        <vt:i4>0</vt:i4>
      </vt:variant>
      <vt:variant>
        <vt:i4>5</vt:i4>
      </vt:variant>
      <vt:variant>
        <vt:lpwstr/>
      </vt:variant>
      <vt:variant>
        <vt:lpwstr>_Toc15515550</vt:lpwstr>
      </vt:variant>
      <vt:variant>
        <vt:i4>2031669</vt:i4>
      </vt:variant>
      <vt:variant>
        <vt:i4>1223</vt:i4>
      </vt:variant>
      <vt:variant>
        <vt:i4>0</vt:i4>
      </vt:variant>
      <vt:variant>
        <vt:i4>5</vt:i4>
      </vt:variant>
      <vt:variant>
        <vt:lpwstr/>
      </vt:variant>
      <vt:variant>
        <vt:lpwstr>_Toc15515549</vt:lpwstr>
      </vt:variant>
      <vt:variant>
        <vt:i4>1966133</vt:i4>
      </vt:variant>
      <vt:variant>
        <vt:i4>1217</vt:i4>
      </vt:variant>
      <vt:variant>
        <vt:i4>0</vt:i4>
      </vt:variant>
      <vt:variant>
        <vt:i4>5</vt:i4>
      </vt:variant>
      <vt:variant>
        <vt:lpwstr/>
      </vt:variant>
      <vt:variant>
        <vt:lpwstr>_Toc15515548</vt:lpwstr>
      </vt:variant>
      <vt:variant>
        <vt:i4>1114165</vt:i4>
      </vt:variant>
      <vt:variant>
        <vt:i4>1211</vt:i4>
      </vt:variant>
      <vt:variant>
        <vt:i4>0</vt:i4>
      </vt:variant>
      <vt:variant>
        <vt:i4>5</vt:i4>
      </vt:variant>
      <vt:variant>
        <vt:lpwstr/>
      </vt:variant>
      <vt:variant>
        <vt:lpwstr>_Toc15515547</vt:lpwstr>
      </vt:variant>
      <vt:variant>
        <vt:i4>1048629</vt:i4>
      </vt:variant>
      <vt:variant>
        <vt:i4>1205</vt:i4>
      </vt:variant>
      <vt:variant>
        <vt:i4>0</vt:i4>
      </vt:variant>
      <vt:variant>
        <vt:i4>5</vt:i4>
      </vt:variant>
      <vt:variant>
        <vt:lpwstr/>
      </vt:variant>
      <vt:variant>
        <vt:lpwstr>_Toc15515546</vt:lpwstr>
      </vt:variant>
      <vt:variant>
        <vt:i4>1245237</vt:i4>
      </vt:variant>
      <vt:variant>
        <vt:i4>1199</vt:i4>
      </vt:variant>
      <vt:variant>
        <vt:i4>0</vt:i4>
      </vt:variant>
      <vt:variant>
        <vt:i4>5</vt:i4>
      </vt:variant>
      <vt:variant>
        <vt:lpwstr/>
      </vt:variant>
      <vt:variant>
        <vt:lpwstr>_Toc15515545</vt:lpwstr>
      </vt:variant>
      <vt:variant>
        <vt:i4>1179701</vt:i4>
      </vt:variant>
      <vt:variant>
        <vt:i4>1193</vt:i4>
      </vt:variant>
      <vt:variant>
        <vt:i4>0</vt:i4>
      </vt:variant>
      <vt:variant>
        <vt:i4>5</vt:i4>
      </vt:variant>
      <vt:variant>
        <vt:lpwstr/>
      </vt:variant>
      <vt:variant>
        <vt:lpwstr>_Toc15515544</vt:lpwstr>
      </vt:variant>
      <vt:variant>
        <vt:i4>1376309</vt:i4>
      </vt:variant>
      <vt:variant>
        <vt:i4>1187</vt:i4>
      </vt:variant>
      <vt:variant>
        <vt:i4>0</vt:i4>
      </vt:variant>
      <vt:variant>
        <vt:i4>5</vt:i4>
      </vt:variant>
      <vt:variant>
        <vt:lpwstr/>
      </vt:variant>
      <vt:variant>
        <vt:lpwstr>_Toc15515543</vt:lpwstr>
      </vt:variant>
      <vt:variant>
        <vt:i4>1310773</vt:i4>
      </vt:variant>
      <vt:variant>
        <vt:i4>1181</vt:i4>
      </vt:variant>
      <vt:variant>
        <vt:i4>0</vt:i4>
      </vt:variant>
      <vt:variant>
        <vt:i4>5</vt:i4>
      </vt:variant>
      <vt:variant>
        <vt:lpwstr/>
      </vt:variant>
      <vt:variant>
        <vt:lpwstr>_Toc15515542</vt:lpwstr>
      </vt:variant>
      <vt:variant>
        <vt:i4>1507381</vt:i4>
      </vt:variant>
      <vt:variant>
        <vt:i4>1175</vt:i4>
      </vt:variant>
      <vt:variant>
        <vt:i4>0</vt:i4>
      </vt:variant>
      <vt:variant>
        <vt:i4>5</vt:i4>
      </vt:variant>
      <vt:variant>
        <vt:lpwstr/>
      </vt:variant>
      <vt:variant>
        <vt:lpwstr>_Toc15515541</vt:lpwstr>
      </vt:variant>
      <vt:variant>
        <vt:i4>1441845</vt:i4>
      </vt:variant>
      <vt:variant>
        <vt:i4>1169</vt:i4>
      </vt:variant>
      <vt:variant>
        <vt:i4>0</vt:i4>
      </vt:variant>
      <vt:variant>
        <vt:i4>5</vt:i4>
      </vt:variant>
      <vt:variant>
        <vt:lpwstr/>
      </vt:variant>
      <vt:variant>
        <vt:lpwstr>_Toc15515540</vt:lpwstr>
      </vt:variant>
      <vt:variant>
        <vt:i4>2031666</vt:i4>
      </vt:variant>
      <vt:variant>
        <vt:i4>1163</vt:i4>
      </vt:variant>
      <vt:variant>
        <vt:i4>0</vt:i4>
      </vt:variant>
      <vt:variant>
        <vt:i4>5</vt:i4>
      </vt:variant>
      <vt:variant>
        <vt:lpwstr/>
      </vt:variant>
      <vt:variant>
        <vt:lpwstr>_Toc15515539</vt:lpwstr>
      </vt:variant>
      <vt:variant>
        <vt:i4>1966130</vt:i4>
      </vt:variant>
      <vt:variant>
        <vt:i4>1157</vt:i4>
      </vt:variant>
      <vt:variant>
        <vt:i4>0</vt:i4>
      </vt:variant>
      <vt:variant>
        <vt:i4>5</vt:i4>
      </vt:variant>
      <vt:variant>
        <vt:lpwstr/>
      </vt:variant>
      <vt:variant>
        <vt:lpwstr>_Toc15515538</vt:lpwstr>
      </vt:variant>
      <vt:variant>
        <vt:i4>1114162</vt:i4>
      </vt:variant>
      <vt:variant>
        <vt:i4>1151</vt:i4>
      </vt:variant>
      <vt:variant>
        <vt:i4>0</vt:i4>
      </vt:variant>
      <vt:variant>
        <vt:i4>5</vt:i4>
      </vt:variant>
      <vt:variant>
        <vt:lpwstr/>
      </vt:variant>
      <vt:variant>
        <vt:lpwstr>_Toc15515537</vt:lpwstr>
      </vt:variant>
      <vt:variant>
        <vt:i4>1048626</vt:i4>
      </vt:variant>
      <vt:variant>
        <vt:i4>1145</vt:i4>
      </vt:variant>
      <vt:variant>
        <vt:i4>0</vt:i4>
      </vt:variant>
      <vt:variant>
        <vt:i4>5</vt:i4>
      </vt:variant>
      <vt:variant>
        <vt:lpwstr/>
      </vt:variant>
      <vt:variant>
        <vt:lpwstr>_Toc15515536</vt:lpwstr>
      </vt:variant>
      <vt:variant>
        <vt:i4>1245234</vt:i4>
      </vt:variant>
      <vt:variant>
        <vt:i4>1139</vt:i4>
      </vt:variant>
      <vt:variant>
        <vt:i4>0</vt:i4>
      </vt:variant>
      <vt:variant>
        <vt:i4>5</vt:i4>
      </vt:variant>
      <vt:variant>
        <vt:lpwstr/>
      </vt:variant>
      <vt:variant>
        <vt:lpwstr>_Toc15515535</vt:lpwstr>
      </vt:variant>
      <vt:variant>
        <vt:i4>1179698</vt:i4>
      </vt:variant>
      <vt:variant>
        <vt:i4>1133</vt:i4>
      </vt:variant>
      <vt:variant>
        <vt:i4>0</vt:i4>
      </vt:variant>
      <vt:variant>
        <vt:i4>5</vt:i4>
      </vt:variant>
      <vt:variant>
        <vt:lpwstr/>
      </vt:variant>
      <vt:variant>
        <vt:lpwstr>_Toc15515534</vt:lpwstr>
      </vt:variant>
      <vt:variant>
        <vt:i4>1376306</vt:i4>
      </vt:variant>
      <vt:variant>
        <vt:i4>1127</vt:i4>
      </vt:variant>
      <vt:variant>
        <vt:i4>0</vt:i4>
      </vt:variant>
      <vt:variant>
        <vt:i4>5</vt:i4>
      </vt:variant>
      <vt:variant>
        <vt:lpwstr/>
      </vt:variant>
      <vt:variant>
        <vt:lpwstr>_Toc15515533</vt:lpwstr>
      </vt:variant>
      <vt:variant>
        <vt:i4>1310770</vt:i4>
      </vt:variant>
      <vt:variant>
        <vt:i4>1121</vt:i4>
      </vt:variant>
      <vt:variant>
        <vt:i4>0</vt:i4>
      </vt:variant>
      <vt:variant>
        <vt:i4>5</vt:i4>
      </vt:variant>
      <vt:variant>
        <vt:lpwstr/>
      </vt:variant>
      <vt:variant>
        <vt:lpwstr>_Toc15515532</vt:lpwstr>
      </vt:variant>
      <vt:variant>
        <vt:i4>1507378</vt:i4>
      </vt:variant>
      <vt:variant>
        <vt:i4>1115</vt:i4>
      </vt:variant>
      <vt:variant>
        <vt:i4>0</vt:i4>
      </vt:variant>
      <vt:variant>
        <vt:i4>5</vt:i4>
      </vt:variant>
      <vt:variant>
        <vt:lpwstr/>
      </vt:variant>
      <vt:variant>
        <vt:lpwstr>_Toc15515531</vt:lpwstr>
      </vt:variant>
      <vt:variant>
        <vt:i4>1441842</vt:i4>
      </vt:variant>
      <vt:variant>
        <vt:i4>1109</vt:i4>
      </vt:variant>
      <vt:variant>
        <vt:i4>0</vt:i4>
      </vt:variant>
      <vt:variant>
        <vt:i4>5</vt:i4>
      </vt:variant>
      <vt:variant>
        <vt:lpwstr/>
      </vt:variant>
      <vt:variant>
        <vt:lpwstr>_Toc15515530</vt:lpwstr>
      </vt:variant>
      <vt:variant>
        <vt:i4>2031667</vt:i4>
      </vt:variant>
      <vt:variant>
        <vt:i4>1103</vt:i4>
      </vt:variant>
      <vt:variant>
        <vt:i4>0</vt:i4>
      </vt:variant>
      <vt:variant>
        <vt:i4>5</vt:i4>
      </vt:variant>
      <vt:variant>
        <vt:lpwstr/>
      </vt:variant>
      <vt:variant>
        <vt:lpwstr>_Toc15515529</vt:lpwstr>
      </vt:variant>
      <vt:variant>
        <vt:i4>1966131</vt:i4>
      </vt:variant>
      <vt:variant>
        <vt:i4>1097</vt:i4>
      </vt:variant>
      <vt:variant>
        <vt:i4>0</vt:i4>
      </vt:variant>
      <vt:variant>
        <vt:i4>5</vt:i4>
      </vt:variant>
      <vt:variant>
        <vt:lpwstr/>
      </vt:variant>
      <vt:variant>
        <vt:lpwstr>_Toc15515528</vt:lpwstr>
      </vt:variant>
      <vt:variant>
        <vt:i4>1114163</vt:i4>
      </vt:variant>
      <vt:variant>
        <vt:i4>1091</vt:i4>
      </vt:variant>
      <vt:variant>
        <vt:i4>0</vt:i4>
      </vt:variant>
      <vt:variant>
        <vt:i4>5</vt:i4>
      </vt:variant>
      <vt:variant>
        <vt:lpwstr/>
      </vt:variant>
      <vt:variant>
        <vt:lpwstr>_Toc15515527</vt:lpwstr>
      </vt:variant>
      <vt:variant>
        <vt:i4>1048627</vt:i4>
      </vt:variant>
      <vt:variant>
        <vt:i4>1085</vt:i4>
      </vt:variant>
      <vt:variant>
        <vt:i4>0</vt:i4>
      </vt:variant>
      <vt:variant>
        <vt:i4>5</vt:i4>
      </vt:variant>
      <vt:variant>
        <vt:lpwstr/>
      </vt:variant>
      <vt:variant>
        <vt:lpwstr>_Toc15515526</vt:lpwstr>
      </vt:variant>
      <vt:variant>
        <vt:i4>1245235</vt:i4>
      </vt:variant>
      <vt:variant>
        <vt:i4>1079</vt:i4>
      </vt:variant>
      <vt:variant>
        <vt:i4>0</vt:i4>
      </vt:variant>
      <vt:variant>
        <vt:i4>5</vt:i4>
      </vt:variant>
      <vt:variant>
        <vt:lpwstr/>
      </vt:variant>
      <vt:variant>
        <vt:lpwstr>_Toc15515525</vt:lpwstr>
      </vt:variant>
      <vt:variant>
        <vt:i4>1179699</vt:i4>
      </vt:variant>
      <vt:variant>
        <vt:i4>1073</vt:i4>
      </vt:variant>
      <vt:variant>
        <vt:i4>0</vt:i4>
      </vt:variant>
      <vt:variant>
        <vt:i4>5</vt:i4>
      </vt:variant>
      <vt:variant>
        <vt:lpwstr/>
      </vt:variant>
      <vt:variant>
        <vt:lpwstr>_Toc15515524</vt:lpwstr>
      </vt:variant>
      <vt:variant>
        <vt:i4>1376307</vt:i4>
      </vt:variant>
      <vt:variant>
        <vt:i4>1067</vt:i4>
      </vt:variant>
      <vt:variant>
        <vt:i4>0</vt:i4>
      </vt:variant>
      <vt:variant>
        <vt:i4>5</vt:i4>
      </vt:variant>
      <vt:variant>
        <vt:lpwstr/>
      </vt:variant>
      <vt:variant>
        <vt:lpwstr>_Toc15515523</vt:lpwstr>
      </vt:variant>
      <vt:variant>
        <vt:i4>1310771</vt:i4>
      </vt:variant>
      <vt:variant>
        <vt:i4>1061</vt:i4>
      </vt:variant>
      <vt:variant>
        <vt:i4>0</vt:i4>
      </vt:variant>
      <vt:variant>
        <vt:i4>5</vt:i4>
      </vt:variant>
      <vt:variant>
        <vt:lpwstr/>
      </vt:variant>
      <vt:variant>
        <vt:lpwstr>_Toc15515522</vt:lpwstr>
      </vt:variant>
      <vt:variant>
        <vt:i4>1507379</vt:i4>
      </vt:variant>
      <vt:variant>
        <vt:i4>1055</vt:i4>
      </vt:variant>
      <vt:variant>
        <vt:i4>0</vt:i4>
      </vt:variant>
      <vt:variant>
        <vt:i4>5</vt:i4>
      </vt:variant>
      <vt:variant>
        <vt:lpwstr/>
      </vt:variant>
      <vt:variant>
        <vt:lpwstr>_Toc15515521</vt:lpwstr>
      </vt:variant>
      <vt:variant>
        <vt:i4>1441843</vt:i4>
      </vt:variant>
      <vt:variant>
        <vt:i4>1049</vt:i4>
      </vt:variant>
      <vt:variant>
        <vt:i4>0</vt:i4>
      </vt:variant>
      <vt:variant>
        <vt:i4>5</vt:i4>
      </vt:variant>
      <vt:variant>
        <vt:lpwstr/>
      </vt:variant>
      <vt:variant>
        <vt:lpwstr>_Toc15515520</vt:lpwstr>
      </vt:variant>
      <vt:variant>
        <vt:i4>2031664</vt:i4>
      </vt:variant>
      <vt:variant>
        <vt:i4>1043</vt:i4>
      </vt:variant>
      <vt:variant>
        <vt:i4>0</vt:i4>
      </vt:variant>
      <vt:variant>
        <vt:i4>5</vt:i4>
      </vt:variant>
      <vt:variant>
        <vt:lpwstr/>
      </vt:variant>
      <vt:variant>
        <vt:lpwstr>_Toc15515519</vt:lpwstr>
      </vt:variant>
      <vt:variant>
        <vt:i4>1966128</vt:i4>
      </vt:variant>
      <vt:variant>
        <vt:i4>1037</vt:i4>
      </vt:variant>
      <vt:variant>
        <vt:i4>0</vt:i4>
      </vt:variant>
      <vt:variant>
        <vt:i4>5</vt:i4>
      </vt:variant>
      <vt:variant>
        <vt:lpwstr/>
      </vt:variant>
      <vt:variant>
        <vt:lpwstr>_Toc15515518</vt:lpwstr>
      </vt:variant>
      <vt:variant>
        <vt:i4>1114160</vt:i4>
      </vt:variant>
      <vt:variant>
        <vt:i4>1031</vt:i4>
      </vt:variant>
      <vt:variant>
        <vt:i4>0</vt:i4>
      </vt:variant>
      <vt:variant>
        <vt:i4>5</vt:i4>
      </vt:variant>
      <vt:variant>
        <vt:lpwstr/>
      </vt:variant>
      <vt:variant>
        <vt:lpwstr>_Toc15515517</vt:lpwstr>
      </vt:variant>
      <vt:variant>
        <vt:i4>1048624</vt:i4>
      </vt:variant>
      <vt:variant>
        <vt:i4>1025</vt:i4>
      </vt:variant>
      <vt:variant>
        <vt:i4>0</vt:i4>
      </vt:variant>
      <vt:variant>
        <vt:i4>5</vt:i4>
      </vt:variant>
      <vt:variant>
        <vt:lpwstr/>
      </vt:variant>
      <vt:variant>
        <vt:lpwstr>_Toc15515516</vt:lpwstr>
      </vt:variant>
      <vt:variant>
        <vt:i4>1245232</vt:i4>
      </vt:variant>
      <vt:variant>
        <vt:i4>1019</vt:i4>
      </vt:variant>
      <vt:variant>
        <vt:i4>0</vt:i4>
      </vt:variant>
      <vt:variant>
        <vt:i4>5</vt:i4>
      </vt:variant>
      <vt:variant>
        <vt:lpwstr/>
      </vt:variant>
      <vt:variant>
        <vt:lpwstr>_Toc15515515</vt:lpwstr>
      </vt:variant>
      <vt:variant>
        <vt:i4>1179696</vt:i4>
      </vt:variant>
      <vt:variant>
        <vt:i4>1013</vt:i4>
      </vt:variant>
      <vt:variant>
        <vt:i4>0</vt:i4>
      </vt:variant>
      <vt:variant>
        <vt:i4>5</vt:i4>
      </vt:variant>
      <vt:variant>
        <vt:lpwstr/>
      </vt:variant>
      <vt:variant>
        <vt:lpwstr>_Toc15515514</vt:lpwstr>
      </vt:variant>
      <vt:variant>
        <vt:i4>1376304</vt:i4>
      </vt:variant>
      <vt:variant>
        <vt:i4>1007</vt:i4>
      </vt:variant>
      <vt:variant>
        <vt:i4>0</vt:i4>
      </vt:variant>
      <vt:variant>
        <vt:i4>5</vt:i4>
      </vt:variant>
      <vt:variant>
        <vt:lpwstr/>
      </vt:variant>
      <vt:variant>
        <vt:lpwstr>_Toc15515513</vt:lpwstr>
      </vt:variant>
      <vt:variant>
        <vt:i4>1310768</vt:i4>
      </vt:variant>
      <vt:variant>
        <vt:i4>1001</vt:i4>
      </vt:variant>
      <vt:variant>
        <vt:i4>0</vt:i4>
      </vt:variant>
      <vt:variant>
        <vt:i4>5</vt:i4>
      </vt:variant>
      <vt:variant>
        <vt:lpwstr/>
      </vt:variant>
      <vt:variant>
        <vt:lpwstr>_Toc15515512</vt:lpwstr>
      </vt:variant>
      <vt:variant>
        <vt:i4>1507376</vt:i4>
      </vt:variant>
      <vt:variant>
        <vt:i4>995</vt:i4>
      </vt:variant>
      <vt:variant>
        <vt:i4>0</vt:i4>
      </vt:variant>
      <vt:variant>
        <vt:i4>5</vt:i4>
      </vt:variant>
      <vt:variant>
        <vt:lpwstr/>
      </vt:variant>
      <vt:variant>
        <vt:lpwstr>_Toc15515511</vt:lpwstr>
      </vt:variant>
      <vt:variant>
        <vt:i4>1441840</vt:i4>
      </vt:variant>
      <vt:variant>
        <vt:i4>989</vt:i4>
      </vt:variant>
      <vt:variant>
        <vt:i4>0</vt:i4>
      </vt:variant>
      <vt:variant>
        <vt:i4>5</vt:i4>
      </vt:variant>
      <vt:variant>
        <vt:lpwstr/>
      </vt:variant>
      <vt:variant>
        <vt:lpwstr>_Toc15515510</vt:lpwstr>
      </vt:variant>
      <vt:variant>
        <vt:i4>2031665</vt:i4>
      </vt:variant>
      <vt:variant>
        <vt:i4>983</vt:i4>
      </vt:variant>
      <vt:variant>
        <vt:i4>0</vt:i4>
      </vt:variant>
      <vt:variant>
        <vt:i4>5</vt:i4>
      </vt:variant>
      <vt:variant>
        <vt:lpwstr/>
      </vt:variant>
      <vt:variant>
        <vt:lpwstr>_Toc15515509</vt:lpwstr>
      </vt:variant>
      <vt:variant>
        <vt:i4>1966129</vt:i4>
      </vt:variant>
      <vt:variant>
        <vt:i4>977</vt:i4>
      </vt:variant>
      <vt:variant>
        <vt:i4>0</vt:i4>
      </vt:variant>
      <vt:variant>
        <vt:i4>5</vt:i4>
      </vt:variant>
      <vt:variant>
        <vt:lpwstr/>
      </vt:variant>
      <vt:variant>
        <vt:lpwstr>_Toc15515508</vt:lpwstr>
      </vt:variant>
      <vt:variant>
        <vt:i4>1114161</vt:i4>
      </vt:variant>
      <vt:variant>
        <vt:i4>971</vt:i4>
      </vt:variant>
      <vt:variant>
        <vt:i4>0</vt:i4>
      </vt:variant>
      <vt:variant>
        <vt:i4>5</vt:i4>
      </vt:variant>
      <vt:variant>
        <vt:lpwstr/>
      </vt:variant>
      <vt:variant>
        <vt:lpwstr>_Toc15515507</vt:lpwstr>
      </vt:variant>
      <vt:variant>
        <vt:i4>1048625</vt:i4>
      </vt:variant>
      <vt:variant>
        <vt:i4>965</vt:i4>
      </vt:variant>
      <vt:variant>
        <vt:i4>0</vt:i4>
      </vt:variant>
      <vt:variant>
        <vt:i4>5</vt:i4>
      </vt:variant>
      <vt:variant>
        <vt:lpwstr/>
      </vt:variant>
      <vt:variant>
        <vt:lpwstr>_Toc15515506</vt:lpwstr>
      </vt:variant>
      <vt:variant>
        <vt:i4>1245233</vt:i4>
      </vt:variant>
      <vt:variant>
        <vt:i4>959</vt:i4>
      </vt:variant>
      <vt:variant>
        <vt:i4>0</vt:i4>
      </vt:variant>
      <vt:variant>
        <vt:i4>5</vt:i4>
      </vt:variant>
      <vt:variant>
        <vt:lpwstr/>
      </vt:variant>
      <vt:variant>
        <vt:lpwstr>_Toc15515505</vt:lpwstr>
      </vt:variant>
      <vt:variant>
        <vt:i4>1179697</vt:i4>
      </vt:variant>
      <vt:variant>
        <vt:i4>953</vt:i4>
      </vt:variant>
      <vt:variant>
        <vt:i4>0</vt:i4>
      </vt:variant>
      <vt:variant>
        <vt:i4>5</vt:i4>
      </vt:variant>
      <vt:variant>
        <vt:lpwstr/>
      </vt:variant>
      <vt:variant>
        <vt:lpwstr>_Toc15515504</vt:lpwstr>
      </vt:variant>
      <vt:variant>
        <vt:i4>1376305</vt:i4>
      </vt:variant>
      <vt:variant>
        <vt:i4>947</vt:i4>
      </vt:variant>
      <vt:variant>
        <vt:i4>0</vt:i4>
      </vt:variant>
      <vt:variant>
        <vt:i4>5</vt:i4>
      </vt:variant>
      <vt:variant>
        <vt:lpwstr/>
      </vt:variant>
      <vt:variant>
        <vt:lpwstr>_Toc15515503</vt:lpwstr>
      </vt:variant>
      <vt:variant>
        <vt:i4>1310769</vt:i4>
      </vt:variant>
      <vt:variant>
        <vt:i4>941</vt:i4>
      </vt:variant>
      <vt:variant>
        <vt:i4>0</vt:i4>
      </vt:variant>
      <vt:variant>
        <vt:i4>5</vt:i4>
      </vt:variant>
      <vt:variant>
        <vt:lpwstr/>
      </vt:variant>
      <vt:variant>
        <vt:lpwstr>_Toc15515502</vt:lpwstr>
      </vt:variant>
      <vt:variant>
        <vt:i4>1507377</vt:i4>
      </vt:variant>
      <vt:variant>
        <vt:i4>935</vt:i4>
      </vt:variant>
      <vt:variant>
        <vt:i4>0</vt:i4>
      </vt:variant>
      <vt:variant>
        <vt:i4>5</vt:i4>
      </vt:variant>
      <vt:variant>
        <vt:lpwstr/>
      </vt:variant>
      <vt:variant>
        <vt:lpwstr>_Toc15515501</vt:lpwstr>
      </vt:variant>
      <vt:variant>
        <vt:i4>1441841</vt:i4>
      </vt:variant>
      <vt:variant>
        <vt:i4>929</vt:i4>
      </vt:variant>
      <vt:variant>
        <vt:i4>0</vt:i4>
      </vt:variant>
      <vt:variant>
        <vt:i4>5</vt:i4>
      </vt:variant>
      <vt:variant>
        <vt:lpwstr/>
      </vt:variant>
      <vt:variant>
        <vt:lpwstr>_Toc15515500</vt:lpwstr>
      </vt:variant>
      <vt:variant>
        <vt:i4>1966136</vt:i4>
      </vt:variant>
      <vt:variant>
        <vt:i4>923</vt:i4>
      </vt:variant>
      <vt:variant>
        <vt:i4>0</vt:i4>
      </vt:variant>
      <vt:variant>
        <vt:i4>5</vt:i4>
      </vt:variant>
      <vt:variant>
        <vt:lpwstr/>
      </vt:variant>
      <vt:variant>
        <vt:lpwstr>_Toc15515499</vt:lpwstr>
      </vt:variant>
      <vt:variant>
        <vt:i4>2031672</vt:i4>
      </vt:variant>
      <vt:variant>
        <vt:i4>917</vt:i4>
      </vt:variant>
      <vt:variant>
        <vt:i4>0</vt:i4>
      </vt:variant>
      <vt:variant>
        <vt:i4>5</vt:i4>
      </vt:variant>
      <vt:variant>
        <vt:lpwstr/>
      </vt:variant>
      <vt:variant>
        <vt:lpwstr>_Toc15515498</vt:lpwstr>
      </vt:variant>
      <vt:variant>
        <vt:i4>1048632</vt:i4>
      </vt:variant>
      <vt:variant>
        <vt:i4>911</vt:i4>
      </vt:variant>
      <vt:variant>
        <vt:i4>0</vt:i4>
      </vt:variant>
      <vt:variant>
        <vt:i4>5</vt:i4>
      </vt:variant>
      <vt:variant>
        <vt:lpwstr/>
      </vt:variant>
      <vt:variant>
        <vt:lpwstr>_Toc15515497</vt:lpwstr>
      </vt:variant>
      <vt:variant>
        <vt:i4>1114168</vt:i4>
      </vt:variant>
      <vt:variant>
        <vt:i4>905</vt:i4>
      </vt:variant>
      <vt:variant>
        <vt:i4>0</vt:i4>
      </vt:variant>
      <vt:variant>
        <vt:i4>5</vt:i4>
      </vt:variant>
      <vt:variant>
        <vt:lpwstr/>
      </vt:variant>
      <vt:variant>
        <vt:lpwstr>_Toc15515496</vt:lpwstr>
      </vt:variant>
      <vt:variant>
        <vt:i4>1179704</vt:i4>
      </vt:variant>
      <vt:variant>
        <vt:i4>899</vt:i4>
      </vt:variant>
      <vt:variant>
        <vt:i4>0</vt:i4>
      </vt:variant>
      <vt:variant>
        <vt:i4>5</vt:i4>
      </vt:variant>
      <vt:variant>
        <vt:lpwstr/>
      </vt:variant>
      <vt:variant>
        <vt:lpwstr>_Toc15515495</vt:lpwstr>
      </vt:variant>
      <vt:variant>
        <vt:i4>1245240</vt:i4>
      </vt:variant>
      <vt:variant>
        <vt:i4>893</vt:i4>
      </vt:variant>
      <vt:variant>
        <vt:i4>0</vt:i4>
      </vt:variant>
      <vt:variant>
        <vt:i4>5</vt:i4>
      </vt:variant>
      <vt:variant>
        <vt:lpwstr/>
      </vt:variant>
      <vt:variant>
        <vt:lpwstr>_Toc15515494</vt:lpwstr>
      </vt:variant>
      <vt:variant>
        <vt:i4>1310776</vt:i4>
      </vt:variant>
      <vt:variant>
        <vt:i4>887</vt:i4>
      </vt:variant>
      <vt:variant>
        <vt:i4>0</vt:i4>
      </vt:variant>
      <vt:variant>
        <vt:i4>5</vt:i4>
      </vt:variant>
      <vt:variant>
        <vt:lpwstr/>
      </vt:variant>
      <vt:variant>
        <vt:lpwstr>_Toc15515493</vt:lpwstr>
      </vt:variant>
      <vt:variant>
        <vt:i4>1376312</vt:i4>
      </vt:variant>
      <vt:variant>
        <vt:i4>881</vt:i4>
      </vt:variant>
      <vt:variant>
        <vt:i4>0</vt:i4>
      </vt:variant>
      <vt:variant>
        <vt:i4>5</vt:i4>
      </vt:variant>
      <vt:variant>
        <vt:lpwstr/>
      </vt:variant>
      <vt:variant>
        <vt:lpwstr>_Toc15515492</vt:lpwstr>
      </vt:variant>
      <vt:variant>
        <vt:i4>1441848</vt:i4>
      </vt:variant>
      <vt:variant>
        <vt:i4>875</vt:i4>
      </vt:variant>
      <vt:variant>
        <vt:i4>0</vt:i4>
      </vt:variant>
      <vt:variant>
        <vt:i4>5</vt:i4>
      </vt:variant>
      <vt:variant>
        <vt:lpwstr/>
      </vt:variant>
      <vt:variant>
        <vt:lpwstr>_Toc15515491</vt:lpwstr>
      </vt:variant>
      <vt:variant>
        <vt:i4>1507384</vt:i4>
      </vt:variant>
      <vt:variant>
        <vt:i4>869</vt:i4>
      </vt:variant>
      <vt:variant>
        <vt:i4>0</vt:i4>
      </vt:variant>
      <vt:variant>
        <vt:i4>5</vt:i4>
      </vt:variant>
      <vt:variant>
        <vt:lpwstr/>
      </vt:variant>
      <vt:variant>
        <vt:lpwstr>_Toc15515490</vt:lpwstr>
      </vt:variant>
      <vt:variant>
        <vt:i4>1900625</vt:i4>
      </vt:variant>
      <vt:variant>
        <vt:i4>627</vt:i4>
      </vt:variant>
      <vt:variant>
        <vt:i4>0</vt:i4>
      </vt:variant>
      <vt:variant>
        <vt:i4>5</vt:i4>
      </vt:variant>
      <vt:variant>
        <vt:lpwstr>https://solveris.pl/wp-content/uploads/2017/08/Gepard2016.jpg</vt:lpwstr>
      </vt:variant>
      <vt:variant>
        <vt:lpwstr/>
      </vt:variant>
      <vt:variant>
        <vt:i4>2359415</vt:i4>
      </vt:variant>
      <vt:variant>
        <vt:i4>501</vt:i4>
      </vt:variant>
      <vt:variant>
        <vt:i4>0</vt:i4>
      </vt:variant>
      <vt:variant>
        <vt:i4>5</vt:i4>
      </vt:variant>
      <vt:variant>
        <vt:lpwstr>http://www.brokereksportowy.pl/pl/</vt:lpwstr>
      </vt:variant>
      <vt:variant>
        <vt:lpwstr/>
      </vt:variant>
      <vt:variant>
        <vt:i4>2359415</vt:i4>
      </vt:variant>
      <vt:variant>
        <vt:i4>498</vt:i4>
      </vt:variant>
      <vt:variant>
        <vt:i4>0</vt:i4>
      </vt:variant>
      <vt:variant>
        <vt:i4>5</vt:i4>
      </vt:variant>
      <vt:variant>
        <vt:lpwstr>http://www.brokereksportowy.pl/pl/</vt:lpwstr>
      </vt:variant>
      <vt:variant>
        <vt:lpwstr/>
      </vt:variant>
      <vt:variant>
        <vt:i4>1310772</vt:i4>
      </vt:variant>
      <vt:variant>
        <vt:i4>374</vt:i4>
      </vt:variant>
      <vt:variant>
        <vt:i4>0</vt:i4>
      </vt:variant>
      <vt:variant>
        <vt:i4>5</vt:i4>
      </vt:variant>
      <vt:variant>
        <vt:lpwstr/>
      </vt:variant>
      <vt:variant>
        <vt:lpwstr>_Toc18014319</vt:lpwstr>
      </vt:variant>
      <vt:variant>
        <vt:i4>1376308</vt:i4>
      </vt:variant>
      <vt:variant>
        <vt:i4>368</vt:i4>
      </vt:variant>
      <vt:variant>
        <vt:i4>0</vt:i4>
      </vt:variant>
      <vt:variant>
        <vt:i4>5</vt:i4>
      </vt:variant>
      <vt:variant>
        <vt:lpwstr/>
      </vt:variant>
      <vt:variant>
        <vt:lpwstr>_Toc18014318</vt:lpwstr>
      </vt:variant>
      <vt:variant>
        <vt:i4>1703988</vt:i4>
      </vt:variant>
      <vt:variant>
        <vt:i4>362</vt:i4>
      </vt:variant>
      <vt:variant>
        <vt:i4>0</vt:i4>
      </vt:variant>
      <vt:variant>
        <vt:i4>5</vt:i4>
      </vt:variant>
      <vt:variant>
        <vt:lpwstr/>
      </vt:variant>
      <vt:variant>
        <vt:lpwstr>_Toc18014317</vt:lpwstr>
      </vt:variant>
      <vt:variant>
        <vt:i4>1769524</vt:i4>
      </vt:variant>
      <vt:variant>
        <vt:i4>356</vt:i4>
      </vt:variant>
      <vt:variant>
        <vt:i4>0</vt:i4>
      </vt:variant>
      <vt:variant>
        <vt:i4>5</vt:i4>
      </vt:variant>
      <vt:variant>
        <vt:lpwstr/>
      </vt:variant>
      <vt:variant>
        <vt:lpwstr>_Toc18014316</vt:lpwstr>
      </vt:variant>
      <vt:variant>
        <vt:i4>1572916</vt:i4>
      </vt:variant>
      <vt:variant>
        <vt:i4>350</vt:i4>
      </vt:variant>
      <vt:variant>
        <vt:i4>0</vt:i4>
      </vt:variant>
      <vt:variant>
        <vt:i4>5</vt:i4>
      </vt:variant>
      <vt:variant>
        <vt:lpwstr/>
      </vt:variant>
      <vt:variant>
        <vt:lpwstr>_Toc18014315</vt:lpwstr>
      </vt:variant>
      <vt:variant>
        <vt:i4>1638452</vt:i4>
      </vt:variant>
      <vt:variant>
        <vt:i4>344</vt:i4>
      </vt:variant>
      <vt:variant>
        <vt:i4>0</vt:i4>
      </vt:variant>
      <vt:variant>
        <vt:i4>5</vt:i4>
      </vt:variant>
      <vt:variant>
        <vt:lpwstr/>
      </vt:variant>
      <vt:variant>
        <vt:lpwstr>_Toc18014314</vt:lpwstr>
      </vt:variant>
      <vt:variant>
        <vt:i4>1966132</vt:i4>
      </vt:variant>
      <vt:variant>
        <vt:i4>338</vt:i4>
      </vt:variant>
      <vt:variant>
        <vt:i4>0</vt:i4>
      </vt:variant>
      <vt:variant>
        <vt:i4>5</vt:i4>
      </vt:variant>
      <vt:variant>
        <vt:lpwstr/>
      </vt:variant>
      <vt:variant>
        <vt:lpwstr>_Toc18014313</vt:lpwstr>
      </vt:variant>
      <vt:variant>
        <vt:i4>2031668</vt:i4>
      </vt:variant>
      <vt:variant>
        <vt:i4>332</vt:i4>
      </vt:variant>
      <vt:variant>
        <vt:i4>0</vt:i4>
      </vt:variant>
      <vt:variant>
        <vt:i4>5</vt:i4>
      </vt:variant>
      <vt:variant>
        <vt:lpwstr/>
      </vt:variant>
      <vt:variant>
        <vt:lpwstr>_Toc18014312</vt:lpwstr>
      </vt:variant>
      <vt:variant>
        <vt:i4>1835060</vt:i4>
      </vt:variant>
      <vt:variant>
        <vt:i4>326</vt:i4>
      </vt:variant>
      <vt:variant>
        <vt:i4>0</vt:i4>
      </vt:variant>
      <vt:variant>
        <vt:i4>5</vt:i4>
      </vt:variant>
      <vt:variant>
        <vt:lpwstr/>
      </vt:variant>
      <vt:variant>
        <vt:lpwstr>_Toc18014311</vt:lpwstr>
      </vt:variant>
      <vt:variant>
        <vt:i4>1900596</vt:i4>
      </vt:variant>
      <vt:variant>
        <vt:i4>320</vt:i4>
      </vt:variant>
      <vt:variant>
        <vt:i4>0</vt:i4>
      </vt:variant>
      <vt:variant>
        <vt:i4>5</vt:i4>
      </vt:variant>
      <vt:variant>
        <vt:lpwstr/>
      </vt:variant>
      <vt:variant>
        <vt:lpwstr>_Toc18014310</vt:lpwstr>
      </vt:variant>
      <vt:variant>
        <vt:i4>1310773</vt:i4>
      </vt:variant>
      <vt:variant>
        <vt:i4>314</vt:i4>
      </vt:variant>
      <vt:variant>
        <vt:i4>0</vt:i4>
      </vt:variant>
      <vt:variant>
        <vt:i4>5</vt:i4>
      </vt:variant>
      <vt:variant>
        <vt:lpwstr/>
      </vt:variant>
      <vt:variant>
        <vt:lpwstr>_Toc18014309</vt:lpwstr>
      </vt:variant>
      <vt:variant>
        <vt:i4>1376309</vt:i4>
      </vt:variant>
      <vt:variant>
        <vt:i4>308</vt:i4>
      </vt:variant>
      <vt:variant>
        <vt:i4>0</vt:i4>
      </vt:variant>
      <vt:variant>
        <vt:i4>5</vt:i4>
      </vt:variant>
      <vt:variant>
        <vt:lpwstr/>
      </vt:variant>
      <vt:variant>
        <vt:lpwstr>_Toc18014308</vt:lpwstr>
      </vt:variant>
      <vt:variant>
        <vt:i4>1703989</vt:i4>
      </vt:variant>
      <vt:variant>
        <vt:i4>302</vt:i4>
      </vt:variant>
      <vt:variant>
        <vt:i4>0</vt:i4>
      </vt:variant>
      <vt:variant>
        <vt:i4>5</vt:i4>
      </vt:variant>
      <vt:variant>
        <vt:lpwstr/>
      </vt:variant>
      <vt:variant>
        <vt:lpwstr>_Toc18014307</vt:lpwstr>
      </vt:variant>
      <vt:variant>
        <vt:i4>1769525</vt:i4>
      </vt:variant>
      <vt:variant>
        <vt:i4>296</vt:i4>
      </vt:variant>
      <vt:variant>
        <vt:i4>0</vt:i4>
      </vt:variant>
      <vt:variant>
        <vt:i4>5</vt:i4>
      </vt:variant>
      <vt:variant>
        <vt:lpwstr/>
      </vt:variant>
      <vt:variant>
        <vt:lpwstr>_Toc18014306</vt:lpwstr>
      </vt:variant>
      <vt:variant>
        <vt:i4>1572917</vt:i4>
      </vt:variant>
      <vt:variant>
        <vt:i4>290</vt:i4>
      </vt:variant>
      <vt:variant>
        <vt:i4>0</vt:i4>
      </vt:variant>
      <vt:variant>
        <vt:i4>5</vt:i4>
      </vt:variant>
      <vt:variant>
        <vt:lpwstr/>
      </vt:variant>
      <vt:variant>
        <vt:lpwstr>_Toc18014305</vt:lpwstr>
      </vt:variant>
      <vt:variant>
        <vt:i4>1638453</vt:i4>
      </vt:variant>
      <vt:variant>
        <vt:i4>284</vt:i4>
      </vt:variant>
      <vt:variant>
        <vt:i4>0</vt:i4>
      </vt:variant>
      <vt:variant>
        <vt:i4>5</vt:i4>
      </vt:variant>
      <vt:variant>
        <vt:lpwstr/>
      </vt:variant>
      <vt:variant>
        <vt:lpwstr>_Toc18014304</vt:lpwstr>
      </vt:variant>
      <vt:variant>
        <vt:i4>1966133</vt:i4>
      </vt:variant>
      <vt:variant>
        <vt:i4>278</vt:i4>
      </vt:variant>
      <vt:variant>
        <vt:i4>0</vt:i4>
      </vt:variant>
      <vt:variant>
        <vt:i4>5</vt:i4>
      </vt:variant>
      <vt:variant>
        <vt:lpwstr/>
      </vt:variant>
      <vt:variant>
        <vt:lpwstr>_Toc18014303</vt:lpwstr>
      </vt:variant>
      <vt:variant>
        <vt:i4>2031669</vt:i4>
      </vt:variant>
      <vt:variant>
        <vt:i4>272</vt:i4>
      </vt:variant>
      <vt:variant>
        <vt:i4>0</vt:i4>
      </vt:variant>
      <vt:variant>
        <vt:i4>5</vt:i4>
      </vt:variant>
      <vt:variant>
        <vt:lpwstr/>
      </vt:variant>
      <vt:variant>
        <vt:lpwstr>_Toc18014302</vt:lpwstr>
      </vt:variant>
      <vt:variant>
        <vt:i4>1835061</vt:i4>
      </vt:variant>
      <vt:variant>
        <vt:i4>266</vt:i4>
      </vt:variant>
      <vt:variant>
        <vt:i4>0</vt:i4>
      </vt:variant>
      <vt:variant>
        <vt:i4>5</vt:i4>
      </vt:variant>
      <vt:variant>
        <vt:lpwstr/>
      </vt:variant>
      <vt:variant>
        <vt:lpwstr>_Toc18014301</vt:lpwstr>
      </vt:variant>
      <vt:variant>
        <vt:i4>1900597</vt:i4>
      </vt:variant>
      <vt:variant>
        <vt:i4>260</vt:i4>
      </vt:variant>
      <vt:variant>
        <vt:i4>0</vt:i4>
      </vt:variant>
      <vt:variant>
        <vt:i4>5</vt:i4>
      </vt:variant>
      <vt:variant>
        <vt:lpwstr/>
      </vt:variant>
      <vt:variant>
        <vt:lpwstr>_Toc18014300</vt:lpwstr>
      </vt:variant>
      <vt:variant>
        <vt:i4>1376316</vt:i4>
      </vt:variant>
      <vt:variant>
        <vt:i4>254</vt:i4>
      </vt:variant>
      <vt:variant>
        <vt:i4>0</vt:i4>
      </vt:variant>
      <vt:variant>
        <vt:i4>5</vt:i4>
      </vt:variant>
      <vt:variant>
        <vt:lpwstr/>
      </vt:variant>
      <vt:variant>
        <vt:lpwstr>_Toc18014299</vt:lpwstr>
      </vt:variant>
      <vt:variant>
        <vt:i4>1310780</vt:i4>
      </vt:variant>
      <vt:variant>
        <vt:i4>248</vt:i4>
      </vt:variant>
      <vt:variant>
        <vt:i4>0</vt:i4>
      </vt:variant>
      <vt:variant>
        <vt:i4>5</vt:i4>
      </vt:variant>
      <vt:variant>
        <vt:lpwstr/>
      </vt:variant>
      <vt:variant>
        <vt:lpwstr>_Toc18014298</vt:lpwstr>
      </vt:variant>
      <vt:variant>
        <vt:i4>1769532</vt:i4>
      </vt:variant>
      <vt:variant>
        <vt:i4>242</vt:i4>
      </vt:variant>
      <vt:variant>
        <vt:i4>0</vt:i4>
      </vt:variant>
      <vt:variant>
        <vt:i4>5</vt:i4>
      </vt:variant>
      <vt:variant>
        <vt:lpwstr/>
      </vt:variant>
      <vt:variant>
        <vt:lpwstr>_Toc18014297</vt:lpwstr>
      </vt:variant>
      <vt:variant>
        <vt:i4>1703996</vt:i4>
      </vt:variant>
      <vt:variant>
        <vt:i4>236</vt:i4>
      </vt:variant>
      <vt:variant>
        <vt:i4>0</vt:i4>
      </vt:variant>
      <vt:variant>
        <vt:i4>5</vt:i4>
      </vt:variant>
      <vt:variant>
        <vt:lpwstr/>
      </vt:variant>
      <vt:variant>
        <vt:lpwstr>_Toc18014296</vt:lpwstr>
      </vt:variant>
      <vt:variant>
        <vt:i4>1638460</vt:i4>
      </vt:variant>
      <vt:variant>
        <vt:i4>230</vt:i4>
      </vt:variant>
      <vt:variant>
        <vt:i4>0</vt:i4>
      </vt:variant>
      <vt:variant>
        <vt:i4>5</vt:i4>
      </vt:variant>
      <vt:variant>
        <vt:lpwstr/>
      </vt:variant>
      <vt:variant>
        <vt:lpwstr>_Toc18014295</vt:lpwstr>
      </vt:variant>
      <vt:variant>
        <vt:i4>1572924</vt:i4>
      </vt:variant>
      <vt:variant>
        <vt:i4>224</vt:i4>
      </vt:variant>
      <vt:variant>
        <vt:i4>0</vt:i4>
      </vt:variant>
      <vt:variant>
        <vt:i4>5</vt:i4>
      </vt:variant>
      <vt:variant>
        <vt:lpwstr/>
      </vt:variant>
      <vt:variant>
        <vt:lpwstr>_Toc18014294</vt:lpwstr>
      </vt:variant>
      <vt:variant>
        <vt:i4>2031676</vt:i4>
      </vt:variant>
      <vt:variant>
        <vt:i4>218</vt:i4>
      </vt:variant>
      <vt:variant>
        <vt:i4>0</vt:i4>
      </vt:variant>
      <vt:variant>
        <vt:i4>5</vt:i4>
      </vt:variant>
      <vt:variant>
        <vt:lpwstr/>
      </vt:variant>
      <vt:variant>
        <vt:lpwstr>_Toc18014293</vt:lpwstr>
      </vt:variant>
      <vt:variant>
        <vt:i4>1966140</vt:i4>
      </vt:variant>
      <vt:variant>
        <vt:i4>212</vt:i4>
      </vt:variant>
      <vt:variant>
        <vt:i4>0</vt:i4>
      </vt:variant>
      <vt:variant>
        <vt:i4>5</vt:i4>
      </vt:variant>
      <vt:variant>
        <vt:lpwstr/>
      </vt:variant>
      <vt:variant>
        <vt:lpwstr>_Toc18014292</vt:lpwstr>
      </vt:variant>
      <vt:variant>
        <vt:i4>1900604</vt:i4>
      </vt:variant>
      <vt:variant>
        <vt:i4>206</vt:i4>
      </vt:variant>
      <vt:variant>
        <vt:i4>0</vt:i4>
      </vt:variant>
      <vt:variant>
        <vt:i4>5</vt:i4>
      </vt:variant>
      <vt:variant>
        <vt:lpwstr/>
      </vt:variant>
      <vt:variant>
        <vt:lpwstr>_Toc18014291</vt:lpwstr>
      </vt:variant>
      <vt:variant>
        <vt:i4>1835068</vt:i4>
      </vt:variant>
      <vt:variant>
        <vt:i4>200</vt:i4>
      </vt:variant>
      <vt:variant>
        <vt:i4>0</vt:i4>
      </vt:variant>
      <vt:variant>
        <vt:i4>5</vt:i4>
      </vt:variant>
      <vt:variant>
        <vt:lpwstr/>
      </vt:variant>
      <vt:variant>
        <vt:lpwstr>_Toc18014290</vt:lpwstr>
      </vt:variant>
      <vt:variant>
        <vt:i4>1376317</vt:i4>
      </vt:variant>
      <vt:variant>
        <vt:i4>194</vt:i4>
      </vt:variant>
      <vt:variant>
        <vt:i4>0</vt:i4>
      </vt:variant>
      <vt:variant>
        <vt:i4>5</vt:i4>
      </vt:variant>
      <vt:variant>
        <vt:lpwstr/>
      </vt:variant>
      <vt:variant>
        <vt:lpwstr>_Toc18014289</vt:lpwstr>
      </vt:variant>
      <vt:variant>
        <vt:i4>1310781</vt:i4>
      </vt:variant>
      <vt:variant>
        <vt:i4>188</vt:i4>
      </vt:variant>
      <vt:variant>
        <vt:i4>0</vt:i4>
      </vt:variant>
      <vt:variant>
        <vt:i4>5</vt:i4>
      </vt:variant>
      <vt:variant>
        <vt:lpwstr/>
      </vt:variant>
      <vt:variant>
        <vt:lpwstr>_Toc18014288</vt:lpwstr>
      </vt:variant>
      <vt:variant>
        <vt:i4>1769533</vt:i4>
      </vt:variant>
      <vt:variant>
        <vt:i4>182</vt:i4>
      </vt:variant>
      <vt:variant>
        <vt:i4>0</vt:i4>
      </vt:variant>
      <vt:variant>
        <vt:i4>5</vt:i4>
      </vt:variant>
      <vt:variant>
        <vt:lpwstr/>
      </vt:variant>
      <vt:variant>
        <vt:lpwstr>_Toc18014287</vt:lpwstr>
      </vt:variant>
      <vt:variant>
        <vt:i4>1703997</vt:i4>
      </vt:variant>
      <vt:variant>
        <vt:i4>176</vt:i4>
      </vt:variant>
      <vt:variant>
        <vt:i4>0</vt:i4>
      </vt:variant>
      <vt:variant>
        <vt:i4>5</vt:i4>
      </vt:variant>
      <vt:variant>
        <vt:lpwstr/>
      </vt:variant>
      <vt:variant>
        <vt:lpwstr>_Toc18014286</vt:lpwstr>
      </vt:variant>
      <vt:variant>
        <vt:i4>1638461</vt:i4>
      </vt:variant>
      <vt:variant>
        <vt:i4>170</vt:i4>
      </vt:variant>
      <vt:variant>
        <vt:i4>0</vt:i4>
      </vt:variant>
      <vt:variant>
        <vt:i4>5</vt:i4>
      </vt:variant>
      <vt:variant>
        <vt:lpwstr/>
      </vt:variant>
      <vt:variant>
        <vt:lpwstr>_Toc18014285</vt:lpwstr>
      </vt:variant>
      <vt:variant>
        <vt:i4>1572925</vt:i4>
      </vt:variant>
      <vt:variant>
        <vt:i4>164</vt:i4>
      </vt:variant>
      <vt:variant>
        <vt:i4>0</vt:i4>
      </vt:variant>
      <vt:variant>
        <vt:i4>5</vt:i4>
      </vt:variant>
      <vt:variant>
        <vt:lpwstr/>
      </vt:variant>
      <vt:variant>
        <vt:lpwstr>_Toc18014284</vt:lpwstr>
      </vt:variant>
      <vt:variant>
        <vt:i4>2031677</vt:i4>
      </vt:variant>
      <vt:variant>
        <vt:i4>158</vt:i4>
      </vt:variant>
      <vt:variant>
        <vt:i4>0</vt:i4>
      </vt:variant>
      <vt:variant>
        <vt:i4>5</vt:i4>
      </vt:variant>
      <vt:variant>
        <vt:lpwstr/>
      </vt:variant>
      <vt:variant>
        <vt:lpwstr>_Toc18014283</vt:lpwstr>
      </vt:variant>
      <vt:variant>
        <vt:i4>1966141</vt:i4>
      </vt:variant>
      <vt:variant>
        <vt:i4>152</vt:i4>
      </vt:variant>
      <vt:variant>
        <vt:i4>0</vt:i4>
      </vt:variant>
      <vt:variant>
        <vt:i4>5</vt:i4>
      </vt:variant>
      <vt:variant>
        <vt:lpwstr/>
      </vt:variant>
      <vt:variant>
        <vt:lpwstr>_Toc18014282</vt:lpwstr>
      </vt:variant>
      <vt:variant>
        <vt:i4>1900605</vt:i4>
      </vt:variant>
      <vt:variant>
        <vt:i4>146</vt:i4>
      </vt:variant>
      <vt:variant>
        <vt:i4>0</vt:i4>
      </vt:variant>
      <vt:variant>
        <vt:i4>5</vt:i4>
      </vt:variant>
      <vt:variant>
        <vt:lpwstr/>
      </vt:variant>
      <vt:variant>
        <vt:lpwstr>_Toc18014281</vt:lpwstr>
      </vt:variant>
      <vt:variant>
        <vt:i4>1835069</vt:i4>
      </vt:variant>
      <vt:variant>
        <vt:i4>140</vt:i4>
      </vt:variant>
      <vt:variant>
        <vt:i4>0</vt:i4>
      </vt:variant>
      <vt:variant>
        <vt:i4>5</vt:i4>
      </vt:variant>
      <vt:variant>
        <vt:lpwstr/>
      </vt:variant>
      <vt:variant>
        <vt:lpwstr>_Toc18014280</vt:lpwstr>
      </vt:variant>
      <vt:variant>
        <vt:i4>1376306</vt:i4>
      </vt:variant>
      <vt:variant>
        <vt:i4>134</vt:i4>
      </vt:variant>
      <vt:variant>
        <vt:i4>0</vt:i4>
      </vt:variant>
      <vt:variant>
        <vt:i4>5</vt:i4>
      </vt:variant>
      <vt:variant>
        <vt:lpwstr/>
      </vt:variant>
      <vt:variant>
        <vt:lpwstr>_Toc18014279</vt:lpwstr>
      </vt:variant>
      <vt:variant>
        <vt:i4>1310770</vt:i4>
      </vt:variant>
      <vt:variant>
        <vt:i4>128</vt:i4>
      </vt:variant>
      <vt:variant>
        <vt:i4>0</vt:i4>
      </vt:variant>
      <vt:variant>
        <vt:i4>5</vt:i4>
      </vt:variant>
      <vt:variant>
        <vt:lpwstr/>
      </vt:variant>
      <vt:variant>
        <vt:lpwstr>_Toc18014278</vt:lpwstr>
      </vt:variant>
      <vt:variant>
        <vt:i4>1769522</vt:i4>
      </vt:variant>
      <vt:variant>
        <vt:i4>122</vt:i4>
      </vt:variant>
      <vt:variant>
        <vt:i4>0</vt:i4>
      </vt:variant>
      <vt:variant>
        <vt:i4>5</vt:i4>
      </vt:variant>
      <vt:variant>
        <vt:lpwstr/>
      </vt:variant>
      <vt:variant>
        <vt:lpwstr>_Toc18014277</vt:lpwstr>
      </vt:variant>
      <vt:variant>
        <vt:i4>1703986</vt:i4>
      </vt:variant>
      <vt:variant>
        <vt:i4>116</vt:i4>
      </vt:variant>
      <vt:variant>
        <vt:i4>0</vt:i4>
      </vt:variant>
      <vt:variant>
        <vt:i4>5</vt:i4>
      </vt:variant>
      <vt:variant>
        <vt:lpwstr/>
      </vt:variant>
      <vt:variant>
        <vt:lpwstr>_Toc18014276</vt:lpwstr>
      </vt:variant>
      <vt:variant>
        <vt:i4>1638450</vt:i4>
      </vt:variant>
      <vt:variant>
        <vt:i4>110</vt:i4>
      </vt:variant>
      <vt:variant>
        <vt:i4>0</vt:i4>
      </vt:variant>
      <vt:variant>
        <vt:i4>5</vt:i4>
      </vt:variant>
      <vt:variant>
        <vt:lpwstr/>
      </vt:variant>
      <vt:variant>
        <vt:lpwstr>_Toc18014275</vt:lpwstr>
      </vt:variant>
      <vt:variant>
        <vt:i4>1572914</vt:i4>
      </vt:variant>
      <vt:variant>
        <vt:i4>104</vt:i4>
      </vt:variant>
      <vt:variant>
        <vt:i4>0</vt:i4>
      </vt:variant>
      <vt:variant>
        <vt:i4>5</vt:i4>
      </vt:variant>
      <vt:variant>
        <vt:lpwstr/>
      </vt:variant>
      <vt:variant>
        <vt:lpwstr>_Toc18014274</vt:lpwstr>
      </vt:variant>
      <vt:variant>
        <vt:i4>2031666</vt:i4>
      </vt:variant>
      <vt:variant>
        <vt:i4>98</vt:i4>
      </vt:variant>
      <vt:variant>
        <vt:i4>0</vt:i4>
      </vt:variant>
      <vt:variant>
        <vt:i4>5</vt:i4>
      </vt:variant>
      <vt:variant>
        <vt:lpwstr/>
      </vt:variant>
      <vt:variant>
        <vt:lpwstr>_Toc18014273</vt:lpwstr>
      </vt:variant>
      <vt:variant>
        <vt:i4>1966130</vt:i4>
      </vt:variant>
      <vt:variant>
        <vt:i4>92</vt:i4>
      </vt:variant>
      <vt:variant>
        <vt:i4>0</vt:i4>
      </vt:variant>
      <vt:variant>
        <vt:i4>5</vt:i4>
      </vt:variant>
      <vt:variant>
        <vt:lpwstr/>
      </vt:variant>
      <vt:variant>
        <vt:lpwstr>_Toc18014272</vt:lpwstr>
      </vt:variant>
      <vt:variant>
        <vt:i4>1900594</vt:i4>
      </vt:variant>
      <vt:variant>
        <vt:i4>86</vt:i4>
      </vt:variant>
      <vt:variant>
        <vt:i4>0</vt:i4>
      </vt:variant>
      <vt:variant>
        <vt:i4>5</vt:i4>
      </vt:variant>
      <vt:variant>
        <vt:lpwstr/>
      </vt:variant>
      <vt:variant>
        <vt:lpwstr>_Toc18014271</vt:lpwstr>
      </vt:variant>
      <vt:variant>
        <vt:i4>1835058</vt:i4>
      </vt:variant>
      <vt:variant>
        <vt:i4>80</vt:i4>
      </vt:variant>
      <vt:variant>
        <vt:i4>0</vt:i4>
      </vt:variant>
      <vt:variant>
        <vt:i4>5</vt:i4>
      </vt:variant>
      <vt:variant>
        <vt:lpwstr/>
      </vt:variant>
      <vt:variant>
        <vt:lpwstr>_Toc18014270</vt:lpwstr>
      </vt:variant>
      <vt:variant>
        <vt:i4>1376307</vt:i4>
      </vt:variant>
      <vt:variant>
        <vt:i4>74</vt:i4>
      </vt:variant>
      <vt:variant>
        <vt:i4>0</vt:i4>
      </vt:variant>
      <vt:variant>
        <vt:i4>5</vt:i4>
      </vt:variant>
      <vt:variant>
        <vt:lpwstr/>
      </vt:variant>
      <vt:variant>
        <vt:lpwstr>_Toc18014269</vt:lpwstr>
      </vt:variant>
      <vt:variant>
        <vt:i4>1310771</vt:i4>
      </vt:variant>
      <vt:variant>
        <vt:i4>68</vt:i4>
      </vt:variant>
      <vt:variant>
        <vt:i4>0</vt:i4>
      </vt:variant>
      <vt:variant>
        <vt:i4>5</vt:i4>
      </vt:variant>
      <vt:variant>
        <vt:lpwstr/>
      </vt:variant>
      <vt:variant>
        <vt:lpwstr>_Toc18014268</vt:lpwstr>
      </vt:variant>
      <vt:variant>
        <vt:i4>1769523</vt:i4>
      </vt:variant>
      <vt:variant>
        <vt:i4>62</vt:i4>
      </vt:variant>
      <vt:variant>
        <vt:i4>0</vt:i4>
      </vt:variant>
      <vt:variant>
        <vt:i4>5</vt:i4>
      </vt:variant>
      <vt:variant>
        <vt:lpwstr/>
      </vt:variant>
      <vt:variant>
        <vt:lpwstr>_Toc18014267</vt:lpwstr>
      </vt:variant>
      <vt:variant>
        <vt:i4>1703987</vt:i4>
      </vt:variant>
      <vt:variant>
        <vt:i4>56</vt:i4>
      </vt:variant>
      <vt:variant>
        <vt:i4>0</vt:i4>
      </vt:variant>
      <vt:variant>
        <vt:i4>5</vt:i4>
      </vt:variant>
      <vt:variant>
        <vt:lpwstr/>
      </vt:variant>
      <vt:variant>
        <vt:lpwstr>_Toc18014266</vt:lpwstr>
      </vt:variant>
      <vt:variant>
        <vt:i4>1638451</vt:i4>
      </vt:variant>
      <vt:variant>
        <vt:i4>50</vt:i4>
      </vt:variant>
      <vt:variant>
        <vt:i4>0</vt:i4>
      </vt:variant>
      <vt:variant>
        <vt:i4>5</vt:i4>
      </vt:variant>
      <vt:variant>
        <vt:lpwstr/>
      </vt:variant>
      <vt:variant>
        <vt:lpwstr>_Toc18014265</vt:lpwstr>
      </vt:variant>
      <vt:variant>
        <vt:i4>1572915</vt:i4>
      </vt:variant>
      <vt:variant>
        <vt:i4>44</vt:i4>
      </vt:variant>
      <vt:variant>
        <vt:i4>0</vt:i4>
      </vt:variant>
      <vt:variant>
        <vt:i4>5</vt:i4>
      </vt:variant>
      <vt:variant>
        <vt:lpwstr/>
      </vt:variant>
      <vt:variant>
        <vt:lpwstr>_Toc18014264</vt:lpwstr>
      </vt:variant>
      <vt:variant>
        <vt:i4>2031667</vt:i4>
      </vt:variant>
      <vt:variant>
        <vt:i4>38</vt:i4>
      </vt:variant>
      <vt:variant>
        <vt:i4>0</vt:i4>
      </vt:variant>
      <vt:variant>
        <vt:i4>5</vt:i4>
      </vt:variant>
      <vt:variant>
        <vt:lpwstr/>
      </vt:variant>
      <vt:variant>
        <vt:lpwstr>_Toc18014263</vt:lpwstr>
      </vt:variant>
      <vt:variant>
        <vt:i4>1966131</vt:i4>
      </vt:variant>
      <vt:variant>
        <vt:i4>32</vt:i4>
      </vt:variant>
      <vt:variant>
        <vt:i4>0</vt:i4>
      </vt:variant>
      <vt:variant>
        <vt:i4>5</vt:i4>
      </vt:variant>
      <vt:variant>
        <vt:lpwstr/>
      </vt:variant>
      <vt:variant>
        <vt:lpwstr>_Toc18014262</vt:lpwstr>
      </vt:variant>
      <vt:variant>
        <vt:i4>1900595</vt:i4>
      </vt:variant>
      <vt:variant>
        <vt:i4>26</vt:i4>
      </vt:variant>
      <vt:variant>
        <vt:i4>0</vt:i4>
      </vt:variant>
      <vt:variant>
        <vt:i4>5</vt:i4>
      </vt:variant>
      <vt:variant>
        <vt:lpwstr/>
      </vt:variant>
      <vt:variant>
        <vt:lpwstr>_Toc18014261</vt:lpwstr>
      </vt:variant>
      <vt:variant>
        <vt:i4>1835059</vt:i4>
      </vt:variant>
      <vt:variant>
        <vt:i4>20</vt:i4>
      </vt:variant>
      <vt:variant>
        <vt:i4>0</vt:i4>
      </vt:variant>
      <vt:variant>
        <vt:i4>5</vt:i4>
      </vt:variant>
      <vt:variant>
        <vt:lpwstr/>
      </vt:variant>
      <vt:variant>
        <vt:lpwstr>_Toc18014260</vt:lpwstr>
      </vt:variant>
      <vt:variant>
        <vt:i4>1376304</vt:i4>
      </vt:variant>
      <vt:variant>
        <vt:i4>14</vt:i4>
      </vt:variant>
      <vt:variant>
        <vt:i4>0</vt:i4>
      </vt:variant>
      <vt:variant>
        <vt:i4>5</vt:i4>
      </vt:variant>
      <vt:variant>
        <vt:lpwstr/>
      </vt:variant>
      <vt:variant>
        <vt:lpwstr>_Toc18014259</vt:lpwstr>
      </vt:variant>
      <vt:variant>
        <vt:i4>1310768</vt:i4>
      </vt:variant>
      <vt:variant>
        <vt:i4>8</vt:i4>
      </vt:variant>
      <vt:variant>
        <vt:i4>0</vt:i4>
      </vt:variant>
      <vt:variant>
        <vt:i4>5</vt:i4>
      </vt:variant>
      <vt:variant>
        <vt:lpwstr/>
      </vt:variant>
      <vt:variant>
        <vt:lpwstr>_Toc18014258</vt:lpwstr>
      </vt:variant>
      <vt:variant>
        <vt:i4>1769520</vt:i4>
      </vt:variant>
      <vt:variant>
        <vt:i4>2</vt:i4>
      </vt:variant>
      <vt:variant>
        <vt:i4>0</vt:i4>
      </vt:variant>
      <vt:variant>
        <vt:i4>5</vt:i4>
      </vt:variant>
      <vt:variant>
        <vt:lpwstr/>
      </vt:variant>
      <vt:variant>
        <vt:lpwstr>_Toc18014257</vt:lpwstr>
      </vt:variant>
      <vt:variant>
        <vt:i4>1966105</vt:i4>
      </vt:variant>
      <vt:variant>
        <vt:i4>54</vt:i4>
      </vt:variant>
      <vt:variant>
        <vt:i4>0</vt:i4>
      </vt:variant>
      <vt:variant>
        <vt:i4>5</vt:i4>
      </vt:variant>
      <vt:variant>
        <vt:lpwstr>https://www.photonics21.org/download/news/2018/18P01-Photonics21-Vision-Paper-Photonics21-Version</vt:lpwstr>
      </vt:variant>
      <vt:variant>
        <vt:lpwstr/>
      </vt:variant>
      <vt:variant>
        <vt:i4>6160384</vt:i4>
      </vt:variant>
      <vt:variant>
        <vt:i4>51</vt:i4>
      </vt:variant>
      <vt:variant>
        <vt:i4>0</vt:i4>
      </vt:variant>
      <vt:variant>
        <vt:i4>5</vt:i4>
      </vt:variant>
      <vt:variant>
        <vt:lpwstr>https://vigo.com.pl/relacje-inwestorskie/spolka/</vt:lpwstr>
      </vt:variant>
      <vt:variant>
        <vt:lpwstr/>
      </vt:variant>
      <vt:variant>
        <vt:i4>5308482</vt:i4>
      </vt:variant>
      <vt:variant>
        <vt:i4>48</vt:i4>
      </vt:variant>
      <vt:variant>
        <vt:i4>0</vt:i4>
      </vt:variant>
      <vt:variant>
        <vt:i4>5</vt:i4>
      </vt:variant>
      <vt:variant>
        <vt:lpwstr>https://maspex.com/maspex,grupa-maspex,3.html</vt:lpwstr>
      </vt:variant>
      <vt:variant>
        <vt:lpwstr/>
      </vt:variant>
      <vt:variant>
        <vt:i4>2031622</vt:i4>
      </vt:variant>
      <vt:variant>
        <vt:i4>45</vt:i4>
      </vt:variant>
      <vt:variant>
        <vt:i4>0</vt:i4>
      </vt:variant>
      <vt:variant>
        <vt:i4>5</vt:i4>
      </vt:variant>
      <vt:variant>
        <vt:lpwstr>https://wspieramyeksport.pl/api/public/files/1506/PKO_BRANZA_MEBLARSKA_2019_final.pdf</vt:lpwstr>
      </vt:variant>
      <vt:variant>
        <vt:lpwstr/>
      </vt:variant>
      <vt:variant>
        <vt:i4>4325383</vt:i4>
      </vt:variant>
      <vt:variant>
        <vt:i4>42</vt:i4>
      </vt:variant>
      <vt:variant>
        <vt:i4>0</vt:i4>
      </vt:variant>
      <vt:variant>
        <vt:i4>5</vt:i4>
      </vt:variant>
      <vt:variant>
        <vt:lpwstr>https://alebank.pl/santander-bank-polska-rusza-osma-edycja-programu-rozwoju-eksportu/</vt:lpwstr>
      </vt:variant>
      <vt:variant>
        <vt:lpwstr/>
      </vt:variant>
      <vt:variant>
        <vt:i4>2031633</vt:i4>
      </vt:variant>
      <vt:variant>
        <vt:i4>39</vt:i4>
      </vt:variant>
      <vt:variant>
        <vt:i4>0</vt:i4>
      </vt:variant>
      <vt:variant>
        <vt:i4>5</vt:i4>
      </vt:variant>
      <vt:variant>
        <vt:lpwstr>https://www.wspieramyeksport.pl/</vt:lpwstr>
      </vt:variant>
      <vt:variant>
        <vt:lpwstr/>
      </vt:variant>
      <vt:variant>
        <vt:i4>2031633</vt:i4>
      </vt:variant>
      <vt:variant>
        <vt:i4>36</vt:i4>
      </vt:variant>
      <vt:variant>
        <vt:i4>0</vt:i4>
      </vt:variant>
      <vt:variant>
        <vt:i4>5</vt:i4>
      </vt:variant>
      <vt:variant>
        <vt:lpwstr>http://disrupt-africa.com/2015/10/sme-export-incubator-launched-in-johannesburg/</vt:lpwstr>
      </vt:variant>
      <vt:variant>
        <vt:lpwstr/>
      </vt:variant>
      <vt:variant>
        <vt:i4>4391007</vt:i4>
      </vt:variant>
      <vt:variant>
        <vt:i4>33</vt:i4>
      </vt:variant>
      <vt:variant>
        <vt:i4>0</vt:i4>
      </vt:variant>
      <vt:variant>
        <vt:i4>5</vt:i4>
      </vt:variant>
      <vt:variant>
        <vt:lpwstr>https://dtti.sa.gov.au/upload/trade/saea/SAEA-Program-Guidelines-2019.pdf?t=1566892734280</vt:lpwstr>
      </vt:variant>
      <vt:variant>
        <vt:lpwstr/>
      </vt:variant>
      <vt:variant>
        <vt:i4>3276863</vt:i4>
      </vt:variant>
      <vt:variant>
        <vt:i4>30</vt:i4>
      </vt:variant>
      <vt:variant>
        <vt:i4>0</vt:i4>
      </vt:variant>
      <vt:variant>
        <vt:i4>5</vt:i4>
      </vt:variant>
      <vt:variant>
        <vt:lpwstr>https://dtti.sa.gov.au/trade/sa-export-accelerator</vt:lpwstr>
      </vt:variant>
      <vt:variant>
        <vt:lpwstr/>
      </vt:variant>
      <vt:variant>
        <vt:i4>8323191</vt:i4>
      </vt:variant>
      <vt:variant>
        <vt:i4>27</vt:i4>
      </vt:variant>
      <vt:variant>
        <vt:i4>0</vt:i4>
      </vt:variant>
      <vt:variant>
        <vt:i4>5</vt:i4>
      </vt:variant>
      <vt:variant>
        <vt:lpwstr>http://www.morten-rask.dk/2008d.pdf</vt:lpwstr>
      </vt:variant>
      <vt:variant>
        <vt:lpwstr/>
      </vt:variant>
      <vt:variant>
        <vt:i4>70</vt:i4>
      </vt:variant>
      <vt:variant>
        <vt:i4>24</vt:i4>
      </vt:variant>
      <vt:variant>
        <vt:i4>0</vt:i4>
      </vt:variant>
      <vt:variant>
        <vt:i4>5</vt:i4>
      </vt:variant>
      <vt:variant>
        <vt:lpwstr>https://www.parp.gov.pl/harmonogram-naborow/grants/platforma-startowa-startup-heroes</vt:lpwstr>
      </vt:variant>
      <vt:variant>
        <vt:lpwstr/>
      </vt:variant>
      <vt:variant>
        <vt:i4>1</vt:i4>
      </vt:variant>
      <vt:variant>
        <vt:i4>21</vt:i4>
      </vt:variant>
      <vt:variant>
        <vt:i4>0</vt:i4>
      </vt:variant>
      <vt:variant>
        <vt:i4>5</vt:i4>
      </vt:variant>
      <vt:variant>
        <vt:lpwstr>https://www.parp.gov.pl/component/content/article/57193:marcin-kubica-wycisnac-ile-sie-da-wywiad</vt:lpwstr>
      </vt:variant>
      <vt:variant>
        <vt:lpwstr/>
      </vt:variant>
      <vt:variant>
        <vt:i4>1179739</vt:i4>
      </vt:variant>
      <vt:variant>
        <vt:i4>18</vt:i4>
      </vt:variant>
      <vt:variant>
        <vt:i4>0</vt:i4>
      </vt:variant>
      <vt:variant>
        <vt:i4>5</vt:i4>
      </vt:variant>
      <vt:variant>
        <vt:lpwstr>https://www.gov.pl/web/dyplomacja/warsaw-humanitarian-expo-2019-program-medialny</vt:lpwstr>
      </vt:variant>
      <vt:variant>
        <vt:lpwstr/>
      </vt:variant>
      <vt:variant>
        <vt:i4>6225992</vt:i4>
      </vt:variant>
      <vt:variant>
        <vt:i4>15</vt:i4>
      </vt:variant>
      <vt:variant>
        <vt:i4>0</vt:i4>
      </vt:variant>
      <vt:variant>
        <vt:i4>5</vt:i4>
      </vt:variant>
      <vt:variant>
        <vt:lpwstr>https://ksiegowosc.infor.pl/obrot-gospodarczy/zamowienia-publiczne/725596,Niska-aktywnosc-polskich-firm-w-zagranicznych-przetargach.html</vt:lpwstr>
      </vt:variant>
      <vt:variant>
        <vt:lpwstr/>
      </vt:variant>
      <vt:variant>
        <vt:i4>5898260</vt:i4>
      </vt:variant>
      <vt:variant>
        <vt:i4>12</vt:i4>
      </vt:variant>
      <vt:variant>
        <vt:i4>0</vt:i4>
      </vt:variant>
      <vt:variant>
        <vt:i4>5</vt:i4>
      </vt:variant>
      <vt:variant>
        <vt:lpwstr>https://www.gov.pl/web/przedsiebiorczosc-technologia/miedzynarodowe-zamowienia-publiczne</vt:lpwstr>
      </vt:variant>
      <vt:variant>
        <vt:lpwstr/>
      </vt:variant>
      <vt:variant>
        <vt:i4>5505055</vt:i4>
      </vt:variant>
      <vt:variant>
        <vt:i4>9</vt:i4>
      </vt:variant>
      <vt:variant>
        <vt:i4>0</vt:i4>
      </vt:variant>
      <vt:variant>
        <vt:i4>5</vt:i4>
      </vt:variant>
      <vt:variant>
        <vt:lpwstr>https://www.defence24.pl/polskie-firmy-sa-w-zasadzie-nieobecne-na-rynku-wartym-co-najmniej-64-mld-zl</vt:lpwstr>
      </vt:variant>
      <vt:variant>
        <vt:lpwstr/>
      </vt:variant>
      <vt:variant>
        <vt:i4>1114128</vt:i4>
      </vt:variant>
      <vt:variant>
        <vt:i4>6</vt:i4>
      </vt:variant>
      <vt:variant>
        <vt:i4>0</vt:i4>
      </vt:variant>
      <vt:variant>
        <vt:i4>5</vt:i4>
      </vt:variant>
      <vt:variant>
        <vt:lpwstr>https://www.rynekinfrastruktury.pl/wiadomosci/drogi/miedzynarodowe-przetargi-szansa-dla-polskich-firm-67931.html</vt:lpwstr>
      </vt:variant>
      <vt:variant>
        <vt:lpwstr/>
      </vt:variant>
      <vt:variant>
        <vt:i4>2621553</vt:i4>
      </vt:variant>
      <vt:variant>
        <vt:i4>3</vt:i4>
      </vt:variant>
      <vt:variant>
        <vt:i4>0</vt:i4>
      </vt:variant>
      <vt:variant>
        <vt:i4>5</vt:i4>
      </vt:variant>
      <vt:variant>
        <vt:lpwstr>https://www.adividedworld.com/economic-ideas/the-human-development-index-and-economic-freedom/</vt:lpwstr>
      </vt:variant>
      <vt:variant>
        <vt:lpwstr/>
      </vt:variant>
      <vt:variant>
        <vt:i4>6815833</vt:i4>
      </vt:variant>
      <vt:variant>
        <vt:i4>0</vt:i4>
      </vt:variant>
      <vt:variant>
        <vt:i4>0</vt:i4>
      </vt:variant>
      <vt:variant>
        <vt:i4>5</vt:i4>
      </vt:variant>
      <vt:variant>
        <vt:lpwstr>http://hdr.undp.org/sites/default/files/hdi_table.pdf</vt:lpwstr>
      </vt:variant>
      <vt:variant>
        <vt:lpwstr/>
      </vt:variant>
      <vt:variant>
        <vt:i4>5111870</vt:i4>
      </vt:variant>
      <vt:variant>
        <vt:i4>0</vt:i4>
      </vt:variant>
      <vt:variant>
        <vt:i4>0</vt:i4>
      </vt:variant>
      <vt:variant>
        <vt:i4>5</vt:i4>
      </vt:variant>
      <vt:variant>
        <vt:lpwstr>https://www.google.com/url?sa=t&amp;rct=j&amp;q=&amp;esrc=s&amp;source=web&amp;cd=1&amp;cad=rja&amp;uact=8&amp;ved=2ahUKEwibvteJuoLkAhXE66QKHfLIBSQQFjAAegQIAhAC&amp;url=https%3A%2F%2Fwww.parp.gov.pl%2Fstorage%2Fgrants%2Fdocuments%2F26%2FNiedozwolona-pomoc-eksportowa-zatw.-na-www_20190228.docx&amp;usg=AOvVaw3lreW2biAF45qkYn-7EDl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Analizy kontrfaktyczne efektów przyczynowych POPW (draft)</dc:title>
  <dc:subject>Raport końcowy</dc:subject>
  <dc:creator>Jacek Pokorski</dc:creator>
  <cp:lastModifiedBy>Pokorski Jacek</cp:lastModifiedBy>
  <cp:revision>6</cp:revision>
  <cp:lastPrinted>2019-10-09T13:35:00Z</cp:lastPrinted>
  <dcterms:created xsi:type="dcterms:W3CDTF">2021-09-02T08:26:00Z</dcterms:created>
  <dcterms:modified xsi:type="dcterms:W3CDTF">2021-09-02T09:27:00Z</dcterms:modified>
</cp:coreProperties>
</file>